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B4E" w:rsidRDefault="000A65BF">
      <w:pPr>
        <w:pStyle w:val="Heading1"/>
        <w:rPr>
          <w:sz w:val="24"/>
          <w:szCs w:val="24"/>
        </w:rPr>
      </w:pPr>
      <w:r>
        <w:rPr>
          <w:sz w:val="24"/>
          <w:szCs w:val="24"/>
        </w:rPr>
        <w:t>Levelling Up Fund – Checklist for Outline Business Case submissions</w:t>
      </w:r>
    </w:p>
    <w:p w:rsidR="006A4B4E" w:rsidRDefault="000A65BF">
      <w:pPr>
        <w:pStyle w:val="BodyText"/>
        <w:rPr>
          <w:sz w:val="22"/>
          <w:szCs w:val="22"/>
        </w:rPr>
      </w:pPr>
      <w:r>
        <w:rPr>
          <w:sz w:val="22"/>
          <w:szCs w:val="22"/>
        </w:rPr>
        <w:t>The requirements in the tables below relate to larger transport projects. By exception, there is also scope for the Fund to invest in larger transport projects of between £20m and £50m.</w:t>
      </w:r>
    </w:p>
    <w:p w:rsidR="006A4B4E" w:rsidRDefault="006A4B4E">
      <w:pPr>
        <w:pStyle w:val="BodyText"/>
        <w:rPr>
          <w:sz w:val="22"/>
          <w:szCs w:val="22"/>
        </w:rPr>
      </w:pPr>
    </w:p>
    <w:p w:rsidR="006A4B4E" w:rsidRDefault="000A65BF">
      <w:pPr>
        <w:pStyle w:val="BodyText"/>
        <w:rPr>
          <w:sz w:val="22"/>
          <w:szCs w:val="22"/>
        </w:rPr>
      </w:pPr>
      <w:r>
        <w:rPr>
          <w:sz w:val="22"/>
          <w:szCs w:val="22"/>
        </w:rPr>
        <w:t xml:space="preserve">The application form should be submitted by the applicant for all larger transport project bids that are submitted for the second round of the Fund. It is expected that a more detailed business case will need to be appraised before funding can be confirmed for larger transport schemes. </w:t>
      </w:r>
    </w:p>
    <w:p w:rsidR="006A4B4E" w:rsidRDefault="006A4B4E">
      <w:pPr>
        <w:pStyle w:val="BodyText"/>
        <w:rPr>
          <w:sz w:val="22"/>
          <w:szCs w:val="22"/>
        </w:rPr>
      </w:pPr>
    </w:p>
    <w:p w:rsidR="006A4B4E" w:rsidRDefault="000A65BF">
      <w:pPr>
        <w:pStyle w:val="BodyText"/>
        <w:rPr>
          <w:sz w:val="22"/>
          <w:szCs w:val="22"/>
        </w:rPr>
      </w:pPr>
      <w:r>
        <w:rPr>
          <w:sz w:val="22"/>
          <w:szCs w:val="22"/>
        </w:rPr>
        <w:t xml:space="preserve">Therefore, DfT will assess the application form for larger transport project bids and advise whether they should be developed further and a more detailed business case should be prepared for review. The assessment of more detailed business cases will occur at a later stage before funding can be confirmed for larger transport project bids. </w:t>
      </w:r>
    </w:p>
    <w:p w:rsidR="006A4B4E" w:rsidRDefault="006A4B4E">
      <w:pPr>
        <w:pStyle w:val="BodyText"/>
        <w:rPr>
          <w:sz w:val="22"/>
          <w:szCs w:val="22"/>
        </w:rPr>
      </w:pPr>
    </w:p>
    <w:p w:rsidR="006A4B4E" w:rsidRDefault="000A65BF">
      <w:pPr>
        <w:pStyle w:val="BodyText"/>
        <w:rPr>
          <w:sz w:val="22"/>
          <w:szCs w:val="22"/>
        </w:rPr>
      </w:pPr>
      <w:r>
        <w:rPr>
          <w:sz w:val="22"/>
          <w:szCs w:val="22"/>
        </w:rPr>
        <w:t xml:space="preserve">Please note that more detailed business cases for larger transport projects should be in a transport business case format and be compliant with the Green Book’s fivecase model and the Department for Transport’s guidance on transport analysis (TAG). More detailed business cases should include information requested in the Application Form and more comprehensive plans and information for relevant projects. More detailed business case submissions should include information and materials in the below checklist where applicable. </w:t>
      </w:r>
    </w:p>
    <w:p w:rsidR="006A4B4E" w:rsidRDefault="006A4B4E">
      <w:pPr>
        <w:pStyle w:val="BodyText"/>
        <w:rPr>
          <w:sz w:val="22"/>
          <w:szCs w:val="22"/>
        </w:rPr>
      </w:pPr>
    </w:p>
    <w:p w:rsidR="006A4B4E" w:rsidRDefault="000A65BF">
      <w:pPr>
        <w:pStyle w:val="BodyText"/>
        <w:rPr>
          <w:sz w:val="22"/>
          <w:szCs w:val="22"/>
        </w:rPr>
      </w:pPr>
      <w:r>
        <w:rPr>
          <w:sz w:val="22"/>
          <w:szCs w:val="22"/>
        </w:rPr>
        <w:t>The checklist should be completed and submitted as part of any business case submissions in order to reference where relevant information and materials are located the business case.</w:t>
      </w:r>
    </w:p>
    <w:p w:rsidR="006A4B4E" w:rsidRDefault="006A4B4E">
      <w:pPr>
        <w:pStyle w:val="BodyText"/>
        <w:rPr>
          <w:sz w:val="24"/>
          <w:szCs w:val="24"/>
        </w:rPr>
      </w:pPr>
    </w:p>
    <w:p w:rsidR="006A4B4E" w:rsidRDefault="000A65BF">
      <w:pPr>
        <w:pStyle w:val="Heading2"/>
        <w:rPr>
          <w:sz w:val="24"/>
          <w:szCs w:val="24"/>
        </w:rPr>
      </w:pPr>
      <w:r>
        <w:rPr>
          <w:sz w:val="24"/>
          <w:szCs w:val="24"/>
        </w:rPr>
        <w:t>Strategic Case</w:t>
      </w:r>
    </w:p>
    <w:tbl>
      <w:tblPr>
        <w:tblW w:w="9067" w:type="dxa"/>
        <w:tblLayout w:type="fixed"/>
        <w:tblCellMar>
          <w:left w:w="10" w:type="dxa"/>
          <w:right w:w="10" w:type="dxa"/>
        </w:tblCellMar>
        <w:tblLook w:val="04A0" w:firstRow="1" w:lastRow="0" w:firstColumn="1" w:lastColumn="0" w:noHBand="0" w:noVBand="1"/>
      </w:tblPr>
      <w:tblGrid>
        <w:gridCol w:w="7083"/>
        <w:gridCol w:w="1984"/>
      </w:tblGrid>
      <w:tr w:rsidR="006A4B4E">
        <w:trPr>
          <w:cantSplit/>
          <w:tblHeader/>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Item</w:t>
            </w:r>
          </w:p>
        </w:tc>
        <w:tc>
          <w:tcPr>
            <w:tcW w:w="198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Section/Page</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A detailed description of the physical scope of the scheme</w:t>
            </w:r>
          </w:p>
        </w:tc>
        <w:tc>
          <w:tcPr>
            <w:tcW w:w="198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B26845">
            <w:pPr>
              <w:pStyle w:val="BodyText"/>
              <w:rPr>
                <w:sz w:val="24"/>
                <w:szCs w:val="24"/>
              </w:rPr>
            </w:pPr>
            <w:r>
              <w:rPr>
                <w:sz w:val="24"/>
                <w:szCs w:val="24"/>
              </w:rPr>
              <w:t xml:space="preserve">Section </w:t>
            </w:r>
            <w:r w:rsidR="00975208">
              <w:rPr>
                <w:sz w:val="24"/>
                <w:szCs w:val="24"/>
              </w:rPr>
              <w:t>7.8 / p89</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The objectives of the scheme and the case for investment</w:t>
            </w:r>
          </w:p>
        </w:tc>
        <w:tc>
          <w:tcPr>
            <w:tcW w:w="198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B26845">
            <w:pPr>
              <w:pStyle w:val="BodyText"/>
              <w:rPr>
                <w:sz w:val="24"/>
                <w:szCs w:val="24"/>
              </w:rPr>
            </w:pPr>
            <w:r>
              <w:rPr>
                <w:sz w:val="24"/>
                <w:szCs w:val="24"/>
              </w:rPr>
              <w:t xml:space="preserve">Section </w:t>
            </w:r>
            <w:r w:rsidR="00175BC9">
              <w:rPr>
                <w:sz w:val="24"/>
                <w:szCs w:val="24"/>
              </w:rPr>
              <w:t>2.2 / p23</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A description of the process by which the scheme came to be identified as the preferred option for meeting those objectives including why alternative options were discarded</w:t>
            </w:r>
          </w:p>
        </w:tc>
        <w:tc>
          <w:tcPr>
            <w:tcW w:w="198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975208">
            <w:pPr>
              <w:pStyle w:val="BodyText"/>
              <w:rPr>
                <w:sz w:val="24"/>
                <w:szCs w:val="24"/>
              </w:rPr>
            </w:pPr>
            <w:r>
              <w:rPr>
                <w:sz w:val="24"/>
                <w:szCs w:val="24"/>
              </w:rPr>
              <w:t>Chapter 7 / p73-99</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 xml:space="preserve">For schemes that directly aim to facilitate commercial or housing development on specific sites, details of the sites, current planning status, status of developer commitment and the expected impact of the scheme </w:t>
            </w:r>
          </w:p>
        </w:tc>
        <w:tc>
          <w:tcPr>
            <w:tcW w:w="198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A100BC">
            <w:pPr>
              <w:pStyle w:val="BodyText"/>
              <w:rPr>
                <w:sz w:val="24"/>
                <w:szCs w:val="24"/>
              </w:rPr>
            </w:pPr>
            <w:r>
              <w:rPr>
                <w:sz w:val="24"/>
                <w:szCs w:val="24"/>
              </w:rPr>
              <w:t>N/A</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lastRenderedPageBreak/>
              <w:t>Evidence or metrics that can be used to understand the extent to which the scheme contributes to local objectives/levelling-up could include:</w:t>
            </w:r>
          </w:p>
          <w:p w:rsidR="006A4B4E" w:rsidRDefault="000A65BF">
            <w:pPr>
              <w:pStyle w:val="BodyText"/>
              <w:numPr>
                <w:ilvl w:val="0"/>
                <w:numId w:val="1"/>
              </w:numPr>
              <w:rPr>
                <w:sz w:val="24"/>
                <w:szCs w:val="24"/>
              </w:rPr>
            </w:pPr>
            <w:r>
              <w:rPr>
                <w:sz w:val="24"/>
                <w:szCs w:val="24"/>
              </w:rPr>
              <w:t>Socio-economic metrics. These metrics demonstrate whether the proposed investment is focused on an area which is a priority for levelling-up.</w:t>
            </w:r>
          </w:p>
          <w:p w:rsidR="006A4B4E" w:rsidRDefault="000A65BF">
            <w:pPr>
              <w:pStyle w:val="BodyText"/>
              <w:rPr>
                <w:sz w:val="24"/>
                <w:szCs w:val="24"/>
              </w:rPr>
            </w:pPr>
            <w:r>
              <w:rPr>
                <w:sz w:val="24"/>
                <w:szCs w:val="24"/>
              </w:rPr>
              <w:t xml:space="preserve"> For example: </w:t>
            </w:r>
          </w:p>
          <w:p w:rsidR="006A4B4E" w:rsidRDefault="000A65BF">
            <w:pPr>
              <w:pStyle w:val="BodyText"/>
              <w:numPr>
                <w:ilvl w:val="1"/>
                <w:numId w:val="1"/>
              </w:numPr>
              <w:rPr>
                <w:sz w:val="24"/>
                <w:szCs w:val="24"/>
              </w:rPr>
            </w:pPr>
            <w:r>
              <w:rPr>
                <w:sz w:val="24"/>
                <w:szCs w:val="24"/>
              </w:rPr>
              <w:t>Gross weekly earnings</w:t>
            </w:r>
          </w:p>
          <w:p w:rsidR="006A4B4E" w:rsidRDefault="000A65BF">
            <w:pPr>
              <w:pStyle w:val="BodyText"/>
              <w:numPr>
                <w:ilvl w:val="1"/>
                <w:numId w:val="1"/>
              </w:numPr>
              <w:rPr>
                <w:sz w:val="24"/>
                <w:szCs w:val="24"/>
              </w:rPr>
            </w:pPr>
            <w:r>
              <w:rPr>
                <w:sz w:val="24"/>
                <w:szCs w:val="24"/>
              </w:rPr>
              <w:t xml:space="preserve">Unemployment rate; Employment rate </w:t>
            </w:r>
          </w:p>
          <w:p w:rsidR="006A4B4E" w:rsidRDefault="000A65BF">
            <w:pPr>
              <w:pStyle w:val="BodyText"/>
              <w:numPr>
                <w:ilvl w:val="1"/>
                <w:numId w:val="1"/>
              </w:numPr>
              <w:rPr>
                <w:sz w:val="24"/>
                <w:szCs w:val="24"/>
              </w:rPr>
            </w:pPr>
            <w:r>
              <w:rPr>
                <w:sz w:val="24"/>
                <w:szCs w:val="24"/>
              </w:rPr>
              <w:t xml:space="preserve">Proportion of population educated to degree level or equivalent. </w:t>
            </w:r>
          </w:p>
          <w:p w:rsidR="006A4B4E" w:rsidRDefault="000A65BF">
            <w:pPr>
              <w:pStyle w:val="BodyText"/>
              <w:numPr>
                <w:ilvl w:val="1"/>
                <w:numId w:val="1"/>
              </w:numPr>
              <w:rPr>
                <w:sz w:val="24"/>
                <w:szCs w:val="24"/>
              </w:rPr>
            </w:pPr>
            <w:r>
              <w:rPr>
                <w:sz w:val="24"/>
                <w:szCs w:val="24"/>
              </w:rPr>
              <w:t xml:space="preserve">Multiple Index of Deprivation Ranking </w:t>
            </w:r>
          </w:p>
          <w:p w:rsidR="006A4B4E" w:rsidRDefault="000A65BF">
            <w:pPr>
              <w:pStyle w:val="BodyText"/>
              <w:numPr>
                <w:ilvl w:val="0"/>
                <w:numId w:val="1"/>
              </w:numPr>
              <w:rPr>
                <w:sz w:val="24"/>
                <w:szCs w:val="24"/>
              </w:rPr>
            </w:pPr>
            <w:r>
              <w:rPr>
                <w:sz w:val="24"/>
                <w:szCs w:val="24"/>
              </w:rPr>
              <w:t>Transport metrics</w:t>
            </w:r>
          </w:p>
          <w:p w:rsidR="006A4B4E" w:rsidRDefault="000A65BF">
            <w:pPr>
              <w:pStyle w:val="BodyText"/>
              <w:rPr>
                <w:sz w:val="24"/>
                <w:szCs w:val="24"/>
              </w:rPr>
            </w:pPr>
            <w:r>
              <w:rPr>
                <w:sz w:val="24"/>
                <w:szCs w:val="24"/>
              </w:rPr>
              <w:t>These metrics present comparative data on the performance of the transport network in the targeted area.</w:t>
            </w:r>
          </w:p>
          <w:p w:rsidR="006A4B4E" w:rsidRDefault="000A65BF">
            <w:pPr>
              <w:pStyle w:val="BodyText"/>
              <w:rPr>
                <w:sz w:val="24"/>
                <w:szCs w:val="24"/>
              </w:rPr>
            </w:pPr>
            <w:r>
              <w:rPr>
                <w:sz w:val="24"/>
                <w:szCs w:val="24"/>
              </w:rPr>
              <w:t>For example:</w:t>
            </w:r>
          </w:p>
          <w:p w:rsidR="006A4B4E" w:rsidRDefault="000A65BF">
            <w:pPr>
              <w:pStyle w:val="BodyText"/>
              <w:numPr>
                <w:ilvl w:val="1"/>
                <w:numId w:val="1"/>
              </w:numPr>
              <w:rPr>
                <w:sz w:val="24"/>
                <w:szCs w:val="24"/>
              </w:rPr>
            </w:pPr>
            <w:r>
              <w:rPr>
                <w:sz w:val="24"/>
                <w:szCs w:val="24"/>
              </w:rPr>
              <w:t>Connectivity Measures such as the National Infrastructure Commission’s Connectivity dataset.</w:t>
            </w:r>
          </w:p>
          <w:p w:rsidR="006A4B4E" w:rsidRDefault="000A65BF">
            <w:pPr>
              <w:pStyle w:val="BodyText"/>
              <w:numPr>
                <w:ilvl w:val="1"/>
                <w:numId w:val="1"/>
              </w:numPr>
              <w:rPr>
                <w:sz w:val="24"/>
                <w:szCs w:val="24"/>
              </w:rPr>
            </w:pPr>
            <w:r>
              <w:rPr>
                <w:sz w:val="24"/>
                <w:szCs w:val="24"/>
              </w:rPr>
              <w:t xml:space="preserve">Economic Impact metrics. The metrics provide insight on the potential impact of the proposed investment on the local economy. For example: </w:t>
            </w:r>
          </w:p>
          <w:p w:rsidR="006A4B4E" w:rsidRDefault="000A65BF">
            <w:pPr>
              <w:pStyle w:val="BodyText"/>
              <w:numPr>
                <w:ilvl w:val="1"/>
                <w:numId w:val="1"/>
              </w:numPr>
              <w:rPr>
                <w:sz w:val="24"/>
                <w:szCs w:val="24"/>
              </w:rPr>
            </w:pPr>
            <w:r>
              <w:rPr>
                <w:sz w:val="24"/>
                <w:szCs w:val="24"/>
              </w:rPr>
              <w:t>Transport User Benefits</w:t>
            </w:r>
          </w:p>
          <w:p w:rsidR="006A4B4E" w:rsidRDefault="000A65BF">
            <w:pPr>
              <w:pStyle w:val="BodyText"/>
              <w:numPr>
                <w:ilvl w:val="0"/>
                <w:numId w:val="1"/>
              </w:numPr>
              <w:rPr>
                <w:sz w:val="24"/>
                <w:szCs w:val="24"/>
              </w:rPr>
            </w:pPr>
            <w:r>
              <w:rPr>
                <w:sz w:val="24"/>
                <w:szCs w:val="24"/>
              </w:rPr>
              <w:t>Wider Economic Impacts (where these have been estimated in the business case)</w:t>
            </w:r>
          </w:p>
        </w:tc>
        <w:tc>
          <w:tcPr>
            <w:tcW w:w="198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B26845" w:rsidRDefault="00B26845">
            <w:pPr>
              <w:pStyle w:val="BodyText"/>
              <w:rPr>
                <w:sz w:val="24"/>
                <w:szCs w:val="24"/>
              </w:rPr>
            </w:pPr>
            <w:r>
              <w:rPr>
                <w:sz w:val="24"/>
                <w:szCs w:val="24"/>
              </w:rPr>
              <w:t xml:space="preserve">Section </w:t>
            </w:r>
            <w:r w:rsidR="00A100BC">
              <w:rPr>
                <w:sz w:val="24"/>
                <w:szCs w:val="24"/>
              </w:rPr>
              <w:t>3 /</w:t>
            </w:r>
          </w:p>
          <w:p w:rsidR="006A4B4E" w:rsidRDefault="00A100BC">
            <w:pPr>
              <w:pStyle w:val="BodyText"/>
              <w:rPr>
                <w:sz w:val="24"/>
                <w:szCs w:val="24"/>
              </w:rPr>
            </w:pPr>
            <w:r>
              <w:rPr>
                <w:sz w:val="24"/>
                <w:szCs w:val="24"/>
              </w:rPr>
              <w:t>p34-46</w:t>
            </w:r>
            <w:r w:rsidR="00B26845">
              <w:rPr>
                <w:sz w:val="24"/>
                <w:szCs w:val="24"/>
              </w:rPr>
              <w:t>;</w:t>
            </w:r>
          </w:p>
          <w:p w:rsidR="00B26845" w:rsidRDefault="00B26845">
            <w:pPr>
              <w:pStyle w:val="BodyText"/>
              <w:rPr>
                <w:sz w:val="24"/>
                <w:szCs w:val="24"/>
              </w:rPr>
            </w:pPr>
            <w:r>
              <w:rPr>
                <w:sz w:val="24"/>
                <w:szCs w:val="24"/>
              </w:rPr>
              <w:t xml:space="preserve">Section </w:t>
            </w:r>
            <w:r w:rsidR="00A100BC">
              <w:rPr>
                <w:sz w:val="24"/>
                <w:szCs w:val="24"/>
              </w:rPr>
              <w:t xml:space="preserve">4 / </w:t>
            </w:r>
          </w:p>
          <w:p w:rsidR="00A100BC" w:rsidRDefault="00A100BC">
            <w:pPr>
              <w:pStyle w:val="BodyText"/>
              <w:rPr>
                <w:sz w:val="24"/>
                <w:szCs w:val="24"/>
              </w:rPr>
            </w:pPr>
            <w:r>
              <w:rPr>
                <w:sz w:val="24"/>
                <w:szCs w:val="24"/>
              </w:rPr>
              <w:t>p47-54</w:t>
            </w:r>
            <w:r w:rsidR="00B26845">
              <w:rPr>
                <w:sz w:val="24"/>
                <w:szCs w:val="24"/>
              </w:rPr>
              <w:t>;</w:t>
            </w:r>
          </w:p>
          <w:p w:rsidR="00B26845" w:rsidRDefault="00B26845">
            <w:pPr>
              <w:pStyle w:val="BodyText"/>
              <w:rPr>
                <w:sz w:val="24"/>
                <w:szCs w:val="24"/>
              </w:rPr>
            </w:pPr>
            <w:r>
              <w:rPr>
                <w:sz w:val="24"/>
                <w:szCs w:val="24"/>
              </w:rPr>
              <w:t xml:space="preserve">Section </w:t>
            </w:r>
            <w:r w:rsidR="00A100BC">
              <w:rPr>
                <w:sz w:val="24"/>
                <w:szCs w:val="24"/>
              </w:rPr>
              <w:t xml:space="preserve">5 / </w:t>
            </w:r>
          </w:p>
          <w:p w:rsidR="00A100BC" w:rsidRDefault="00A100BC">
            <w:pPr>
              <w:pStyle w:val="BodyText"/>
              <w:rPr>
                <w:sz w:val="24"/>
                <w:szCs w:val="24"/>
              </w:rPr>
            </w:pPr>
            <w:r>
              <w:rPr>
                <w:sz w:val="24"/>
                <w:szCs w:val="24"/>
              </w:rPr>
              <w:t>p55-66</w:t>
            </w:r>
            <w:r w:rsidR="00B26845">
              <w:rPr>
                <w:sz w:val="24"/>
                <w:szCs w:val="24"/>
              </w:rPr>
              <w:t>;</w:t>
            </w:r>
          </w:p>
          <w:p w:rsidR="00B26845" w:rsidRDefault="00B26845">
            <w:pPr>
              <w:pStyle w:val="BodyText"/>
              <w:rPr>
                <w:sz w:val="24"/>
                <w:szCs w:val="24"/>
              </w:rPr>
            </w:pPr>
            <w:r>
              <w:rPr>
                <w:sz w:val="24"/>
                <w:szCs w:val="24"/>
              </w:rPr>
              <w:t xml:space="preserve">Section </w:t>
            </w:r>
            <w:r w:rsidR="00A100BC">
              <w:rPr>
                <w:sz w:val="24"/>
                <w:szCs w:val="24"/>
              </w:rPr>
              <w:t xml:space="preserve">6 / </w:t>
            </w:r>
          </w:p>
          <w:p w:rsidR="00B26845" w:rsidRDefault="00A100BC">
            <w:pPr>
              <w:pStyle w:val="BodyText"/>
              <w:rPr>
                <w:sz w:val="24"/>
                <w:szCs w:val="24"/>
              </w:rPr>
            </w:pPr>
            <w:r>
              <w:rPr>
                <w:sz w:val="24"/>
                <w:szCs w:val="24"/>
              </w:rPr>
              <w:t>p67-72</w:t>
            </w:r>
            <w:r w:rsidR="00B26845">
              <w:rPr>
                <w:sz w:val="24"/>
                <w:szCs w:val="24"/>
              </w:rPr>
              <w:t>;</w:t>
            </w:r>
          </w:p>
          <w:p w:rsidR="00975208" w:rsidRDefault="00975208" w:rsidP="00036594">
            <w:pPr>
              <w:pStyle w:val="BodyText"/>
              <w:rPr>
                <w:sz w:val="24"/>
                <w:szCs w:val="24"/>
              </w:rPr>
            </w:pPr>
            <w:r>
              <w:rPr>
                <w:sz w:val="24"/>
                <w:szCs w:val="24"/>
              </w:rPr>
              <w:t xml:space="preserve">The means by which these benefits will be realised, monitored and evaluated set out in </w:t>
            </w:r>
            <w:r w:rsidR="00B26845">
              <w:rPr>
                <w:sz w:val="24"/>
                <w:szCs w:val="24"/>
              </w:rPr>
              <w:t>S</w:t>
            </w:r>
            <w:r>
              <w:rPr>
                <w:sz w:val="24"/>
                <w:szCs w:val="24"/>
              </w:rPr>
              <w:t>ection 10.9</w:t>
            </w:r>
            <w:r w:rsidR="00995E3E">
              <w:rPr>
                <w:sz w:val="24"/>
                <w:szCs w:val="24"/>
              </w:rPr>
              <w:t xml:space="preserve"> / p134</w:t>
            </w:r>
            <w:r>
              <w:rPr>
                <w:sz w:val="24"/>
                <w:szCs w:val="24"/>
              </w:rPr>
              <w:t xml:space="preserve"> &amp; </w:t>
            </w:r>
            <w:r w:rsidR="00036594">
              <w:rPr>
                <w:sz w:val="24"/>
                <w:szCs w:val="24"/>
              </w:rPr>
              <w:t xml:space="preserve">Section </w:t>
            </w:r>
            <w:r>
              <w:rPr>
                <w:sz w:val="24"/>
                <w:szCs w:val="24"/>
              </w:rPr>
              <w:t>10.10</w:t>
            </w:r>
            <w:r w:rsidR="00995E3E">
              <w:rPr>
                <w:sz w:val="24"/>
                <w:szCs w:val="24"/>
              </w:rPr>
              <w:t xml:space="preserve"> / p138</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Details on how the project aligns with relevant local strategies (such as Local Plans, Local Industrial Strategies or Local Transport Plans) and local objectives for investment, improving infrastructure and levelling up.</w:t>
            </w:r>
          </w:p>
        </w:tc>
        <w:tc>
          <w:tcPr>
            <w:tcW w:w="198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975208" w:rsidP="00036594">
            <w:pPr>
              <w:pStyle w:val="BodyText"/>
              <w:rPr>
                <w:sz w:val="24"/>
                <w:szCs w:val="24"/>
              </w:rPr>
            </w:pPr>
            <w:r>
              <w:rPr>
                <w:sz w:val="24"/>
                <w:szCs w:val="24"/>
              </w:rPr>
              <w:t>Alignment as detailed, was demonstrated in the SOBC – Appendi</w:t>
            </w:r>
            <w:r w:rsidR="00036594">
              <w:rPr>
                <w:sz w:val="24"/>
                <w:szCs w:val="24"/>
              </w:rPr>
              <w:t>ces</w:t>
            </w:r>
            <w:bookmarkStart w:id="0" w:name="_GoBack"/>
            <w:bookmarkEnd w:id="0"/>
            <w:r>
              <w:rPr>
                <w:sz w:val="24"/>
                <w:szCs w:val="24"/>
              </w:rPr>
              <w:t xml:space="preserve"> 1 &amp; 2</w:t>
            </w:r>
            <w:r w:rsidR="00995E3E">
              <w:rPr>
                <w:sz w:val="24"/>
                <w:szCs w:val="24"/>
              </w:rPr>
              <w:t xml:space="preserve"> of LUF application</w:t>
            </w:r>
            <w:r>
              <w:rPr>
                <w:sz w:val="24"/>
                <w:szCs w:val="24"/>
              </w:rPr>
              <w:t>, and confirmed as part of the strategic case review.</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lastRenderedPageBreak/>
              <w:t>Explanation of how the project support UK Government policy objectives and legal and statutory commitments. In particular, OBCs should explicitly explain how they support:</w:t>
            </w:r>
          </w:p>
          <w:p w:rsidR="006A4B4E" w:rsidRDefault="000A65BF">
            <w:pPr>
              <w:pStyle w:val="BodyText"/>
              <w:numPr>
                <w:ilvl w:val="0"/>
                <w:numId w:val="2"/>
              </w:numPr>
              <w:rPr>
                <w:sz w:val="24"/>
                <w:szCs w:val="24"/>
              </w:rPr>
            </w:pPr>
            <w:r>
              <w:rPr>
                <w:sz w:val="24"/>
                <w:szCs w:val="24"/>
              </w:rPr>
              <w:t>UK’s commitment to achieve net zero carbon emissions;</w:t>
            </w:r>
          </w:p>
          <w:p w:rsidR="006A4B4E" w:rsidRDefault="000A65BF">
            <w:pPr>
              <w:pStyle w:val="BodyText"/>
              <w:numPr>
                <w:ilvl w:val="0"/>
                <w:numId w:val="2"/>
              </w:numPr>
            </w:pPr>
            <w:r>
              <w:rPr>
                <w:sz w:val="24"/>
                <w:szCs w:val="24"/>
              </w:rPr>
              <w:t>Improve cycling and walking infrastructure</w:t>
            </w:r>
            <w:r>
              <w:rPr>
                <w:rStyle w:val="FootnoteReference"/>
                <w:sz w:val="24"/>
                <w:szCs w:val="24"/>
              </w:rPr>
              <w:footnoteReference w:id="1"/>
            </w:r>
          </w:p>
          <w:p w:rsidR="006A4B4E" w:rsidRDefault="000A65BF">
            <w:pPr>
              <w:pStyle w:val="BodyText"/>
              <w:numPr>
                <w:ilvl w:val="0"/>
                <w:numId w:val="2"/>
              </w:numPr>
            </w:pPr>
            <w:r>
              <w:rPr>
                <w:sz w:val="24"/>
                <w:szCs w:val="24"/>
              </w:rPr>
              <w:t>Improve bus infrastructure and services</w:t>
            </w:r>
            <w:r>
              <w:rPr>
                <w:rStyle w:val="FootnoteReference"/>
                <w:sz w:val="24"/>
                <w:szCs w:val="24"/>
              </w:rPr>
              <w:footnoteReference w:id="2"/>
            </w:r>
          </w:p>
        </w:tc>
        <w:tc>
          <w:tcPr>
            <w:tcW w:w="198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182B78">
            <w:pPr>
              <w:pStyle w:val="BodyText"/>
              <w:rPr>
                <w:sz w:val="24"/>
                <w:szCs w:val="24"/>
              </w:rPr>
            </w:pPr>
            <w:r>
              <w:rPr>
                <w:sz w:val="24"/>
                <w:szCs w:val="24"/>
              </w:rPr>
              <w:t>Covered in application – OBC written prior to Levelling Up Fund.</w:t>
            </w:r>
          </w:p>
          <w:p w:rsidR="00182B78" w:rsidRDefault="00995E3E" w:rsidP="00995E3E">
            <w:pPr>
              <w:pStyle w:val="BodyText"/>
              <w:rPr>
                <w:sz w:val="24"/>
                <w:szCs w:val="24"/>
              </w:rPr>
            </w:pPr>
            <w:r>
              <w:rPr>
                <w:sz w:val="24"/>
                <w:szCs w:val="24"/>
              </w:rPr>
              <w:t>It is the Council’s position</w:t>
            </w:r>
            <w:r w:rsidR="00182B78">
              <w:rPr>
                <w:sz w:val="24"/>
                <w:szCs w:val="24"/>
              </w:rPr>
              <w:t xml:space="preserve"> to reduce emission</w:t>
            </w:r>
            <w:r>
              <w:rPr>
                <w:sz w:val="24"/>
                <w:szCs w:val="24"/>
              </w:rPr>
              <w:t xml:space="preserve">s of its ferry fleet which, in the context of this project, will be further explored during the </w:t>
            </w:r>
            <w:r w:rsidR="00182B78">
              <w:rPr>
                <w:sz w:val="24"/>
                <w:szCs w:val="24"/>
              </w:rPr>
              <w:t>detailed design/PID</w:t>
            </w:r>
            <w:r>
              <w:rPr>
                <w:sz w:val="24"/>
                <w:szCs w:val="24"/>
              </w:rPr>
              <w:t xml:space="preserve"> development stage.</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Details and evidence of support for the project from local stakeholders</w:t>
            </w:r>
          </w:p>
        </w:tc>
        <w:tc>
          <w:tcPr>
            <w:tcW w:w="198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995E3E" w:rsidRDefault="00995E3E">
            <w:pPr>
              <w:pStyle w:val="BodyText"/>
              <w:rPr>
                <w:sz w:val="24"/>
                <w:szCs w:val="24"/>
              </w:rPr>
            </w:pPr>
            <w:r>
              <w:rPr>
                <w:sz w:val="24"/>
                <w:szCs w:val="24"/>
              </w:rPr>
              <w:t>Chapters 5 &amp; 6 / p55 – 72; &amp; S</w:t>
            </w:r>
            <w:r w:rsidR="00182B78">
              <w:rPr>
                <w:sz w:val="24"/>
                <w:szCs w:val="24"/>
              </w:rPr>
              <w:t xml:space="preserve">ection 7.10.10 </w:t>
            </w:r>
            <w:r>
              <w:rPr>
                <w:sz w:val="24"/>
                <w:szCs w:val="24"/>
              </w:rPr>
              <w:t xml:space="preserve">/ p99; </w:t>
            </w:r>
            <w:r w:rsidR="00182B78">
              <w:rPr>
                <w:sz w:val="24"/>
                <w:szCs w:val="24"/>
              </w:rPr>
              <w:t>&amp;</w:t>
            </w:r>
          </w:p>
          <w:p w:rsidR="006A4B4E" w:rsidRDefault="00995E3E">
            <w:pPr>
              <w:pStyle w:val="BodyText"/>
              <w:rPr>
                <w:sz w:val="24"/>
                <w:szCs w:val="24"/>
              </w:rPr>
            </w:pPr>
            <w:r>
              <w:rPr>
                <w:sz w:val="24"/>
                <w:szCs w:val="24"/>
              </w:rPr>
              <w:t>Section</w:t>
            </w:r>
            <w:r w:rsidR="00182B78">
              <w:rPr>
                <w:sz w:val="24"/>
                <w:szCs w:val="24"/>
              </w:rPr>
              <w:t xml:space="preserve"> 7.10.11</w:t>
            </w:r>
            <w:r>
              <w:rPr>
                <w:sz w:val="24"/>
                <w:szCs w:val="24"/>
              </w:rPr>
              <w:t xml:space="preserve"> / p99</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Details and evidence of support for the project from the local MP</w:t>
            </w:r>
          </w:p>
        </w:tc>
        <w:tc>
          <w:tcPr>
            <w:tcW w:w="198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182B78">
            <w:pPr>
              <w:pStyle w:val="BodyText"/>
              <w:rPr>
                <w:sz w:val="24"/>
                <w:szCs w:val="24"/>
              </w:rPr>
            </w:pPr>
            <w:r>
              <w:rPr>
                <w:sz w:val="24"/>
                <w:szCs w:val="24"/>
              </w:rPr>
              <w:t>Submitted Pro</w:t>
            </w:r>
            <w:r w:rsidR="00995E3E">
              <w:rPr>
                <w:sz w:val="24"/>
                <w:szCs w:val="24"/>
              </w:rPr>
              <w:t xml:space="preserve"> </w:t>
            </w:r>
            <w:r>
              <w:rPr>
                <w:sz w:val="24"/>
                <w:szCs w:val="24"/>
              </w:rPr>
              <w:t xml:space="preserve">Forma </w:t>
            </w:r>
            <w:r w:rsidR="00995E3E">
              <w:rPr>
                <w:sz w:val="24"/>
                <w:szCs w:val="24"/>
              </w:rPr>
              <w:t>6, with LUF application.</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lastRenderedPageBreak/>
              <w:t>Details of public consultation activities on the scheme to date, and key findings including how any key questions/concerns have been addressed.</w:t>
            </w:r>
          </w:p>
        </w:tc>
        <w:tc>
          <w:tcPr>
            <w:tcW w:w="198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995E3E" w:rsidRDefault="00182B78">
            <w:pPr>
              <w:pStyle w:val="BodyText"/>
              <w:rPr>
                <w:sz w:val="24"/>
                <w:szCs w:val="24"/>
              </w:rPr>
            </w:pPr>
            <w:r>
              <w:rPr>
                <w:sz w:val="24"/>
                <w:szCs w:val="24"/>
              </w:rPr>
              <w:t>S</w:t>
            </w:r>
            <w:r>
              <w:rPr>
                <w:sz w:val="24"/>
                <w:szCs w:val="24"/>
              </w:rPr>
              <w:t xml:space="preserve">ection </w:t>
            </w:r>
            <w:r>
              <w:rPr>
                <w:sz w:val="24"/>
                <w:szCs w:val="24"/>
              </w:rPr>
              <w:t>5.8</w:t>
            </w:r>
            <w:r w:rsidR="00995E3E">
              <w:rPr>
                <w:sz w:val="24"/>
                <w:szCs w:val="24"/>
              </w:rPr>
              <w:t xml:space="preserve"> / p65;</w:t>
            </w:r>
          </w:p>
          <w:p w:rsidR="00995E3E" w:rsidRDefault="00995E3E">
            <w:pPr>
              <w:pStyle w:val="BodyText"/>
              <w:rPr>
                <w:sz w:val="24"/>
                <w:szCs w:val="24"/>
              </w:rPr>
            </w:pPr>
            <w:r>
              <w:rPr>
                <w:sz w:val="24"/>
                <w:szCs w:val="24"/>
              </w:rPr>
              <w:t xml:space="preserve">Section </w:t>
            </w:r>
            <w:r w:rsidR="00182B78">
              <w:rPr>
                <w:sz w:val="24"/>
                <w:szCs w:val="24"/>
              </w:rPr>
              <w:t xml:space="preserve">7.10.10 </w:t>
            </w:r>
            <w:r>
              <w:rPr>
                <w:sz w:val="24"/>
                <w:szCs w:val="24"/>
              </w:rPr>
              <w:t xml:space="preserve">/ p 99; </w:t>
            </w:r>
            <w:r w:rsidR="00182B78">
              <w:rPr>
                <w:sz w:val="24"/>
                <w:szCs w:val="24"/>
              </w:rPr>
              <w:t xml:space="preserve">&amp; </w:t>
            </w:r>
          </w:p>
          <w:p w:rsidR="006A4B4E" w:rsidRDefault="00995E3E">
            <w:pPr>
              <w:pStyle w:val="BodyText"/>
              <w:rPr>
                <w:sz w:val="24"/>
                <w:szCs w:val="24"/>
              </w:rPr>
            </w:pPr>
            <w:r>
              <w:rPr>
                <w:sz w:val="24"/>
                <w:szCs w:val="24"/>
              </w:rPr>
              <w:t xml:space="preserve">Section </w:t>
            </w:r>
            <w:r w:rsidR="00182B78">
              <w:rPr>
                <w:sz w:val="24"/>
                <w:szCs w:val="24"/>
              </w:rPr>
              <w:t>7.10.11</w:t>
            </w:r>
            <w:r>
              <w:rPr>
                <w:sz w:val="24"/>
                <w:szCs w:val="24"/>
              </w:rPr>
              <w:t xml:space="preserve"> / p 99</w:t>
            </w:r>
          </w:p>
          <w:p w:rsidR="00182B78" w:rsidRDefault="00182B78">
            <w:pPr>
              <w:pStyle w:val="BodyText"/>
              <w:rPr>
                <w:sz w:val="24"/>
                <w:szCs w:val="24"/>
              </w:rPr>
            </w:pPr>
            <w:r>
              <w:rPr>
                <w:sz w:val="24"/>
                <w:szCs w:val="24"/>
              </w:rPr>
              <w:t>Extensive engagement undertaken as part of SOBC, with public engagement events undertaken.</w:t>
            </w:r>
          </w:p>
        </w:tc>
      </w:tr>
    </w:tbl>
    <w:p w:rsidR="006A4B4E" w:rsidRDefault="006A4B4E">
      <w:pPr>
        <w:pStyle w:val="BodyText"/>
        <w:rPr>
          <w:sz w:val="24"/>
          <w:szCs w:val="24"/>
        </w:rPr>
      </w:pPr>
    </w:p>
    <w:p w:rsidR="006A4B4E" w:rsidRDefault="006A4B4E">
      <w:pPr>
        <w:pStyle w:val="Heading2"/>
        <w:rPr>
          <w:sz w:val="24"/>
          <w:szCs w:val="24"/>
        </w:rPr>
      </w:pPr>
      <w:bookmarkStart w:id="1" w:name="_Ref161119613"/>
      <w:bookmarkStart w:id="2" w:name="_Toc173923568"/>
    </w:p>
    <w:p w:rsidR="006A4B4E" w:rsidRDefault="000A65BF">
      <w:pPr>
        <w:pStyle w:val="Heading2"/>
        <w:rPr>
          <w:sz w:val="24"/>
          <w:szCs w:val="24"/>
        </w:rPr>
      </w:pPr>
      <w:r>
        <w:rPr>
          <w:sz w:val="24"/>
          <w:szCs w:val="24"/>
        </w:rPr>
        <w:t>Economic Case</w:t>
      </w:r>
    </w:p>
    <w:p w:rsidR="006A4B4E" w:rsidRDefault="000A65BF">
      <w:pPr>
        <w:pStyle w:val="BodyText"/>
        <w:rPr>
          <w:sz w:val="24"/>
          <w:szCs w:val="24"/>
        </w:rPr>
      </w:pPr>
      <w:r>
        <w:rPr>
          <w:sz w:val="24"/>
          <w:szCs w:val="24"/>
        </w:rPr>
        <w:t>As well as referencing the location of the below items of information within the OBC, please complete the checklist of appraisal and modelling supporting materials and supply these materials as part of OBC submissions.</w:t>
      </w:r>
    </w:p>
    <w:tbl>
      <w:tblPr>
        <w:tblW w:w="9180" w:type="dxa"/>
        <w:tblLayout w:type="fixed"/>
        <w:tblCellMar>
          <w:left w:w="10" w:type="dxa"/>
          <w:right w:w="10" w:type="dxa"/>
        </w:tblCellMar>
        <w:tblLook w:val="04A0" w:firstRow="1" w:lastRow="0" w:firstColumn="1" w:lastColumn="0" w:noHBand="0" w:noVBand="1"/>
      </w:tblPr>
      <w:tblGrid>
        <w:gridCol w:w="7054"/>
        <w:gridCol w:w="2126"/>
      </w:tblGrid>
      <w:tr w:rsidR="006A4B4E">
        <w:trPr>
          <w:cantSplit/>
          <w:tblHeader/>
        </w:trPr>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Item</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Section/Page</w:t>
            </w:r>
          </w:p>
        </w:tc>
      </w:tr>
      <w:tr w:rsidR="006A4B4E">
        <w:trPr>
          <w:cantSplit/>
        </w:trPr>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 xml:space="preserve">Option Assessment Report (OAR) </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182B78" w:rsidRDefault="00182B78" w:rsidP="00182B78">
            <w:pPr>
              <w:pStyle w:val="BodyText"/>
              <w:rPr>
                <w:sz w:val="24"/>
                <w:szCs w:val="24"/>
              </w:rPr>
            </w:pPr>
            <w:r>
              <w:rPr>
                <w:sz w:val="24"/>
                <w:szCs w:val="24"/>
              </w:rPr>
              <w:t>SOBC – Further developed in Chapter 7</w:t>
            </w:r>
            <w:r w:rsidR="00995E3E">
              <w:rPr>
                <w:sz w:val="24"/>
                <w:szCs w:val="24"/>
              </w:rPr>
              <w:t xml:space="preserve"> / p73 of OBC</w:t>
            </w:r>
          </w:p>
        </w:tc>
      </w:tr>
      <w:tr w:rsidR="006A4B4E">
        <w:trPr>
          <w:cantSplit/>
        </w:trPr>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Logic Model / Theory of Change Model</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995E3E">
            <w:pPr>
              <w:pStyle w:val="BodyText"/>
              <w:rPr>
                <w:sz w:val="24"/>
                <w:szCs w:val="24"/>
              </w:rPr>
            </w:pPr>
            <w:r>
              <w:rPr>
                <w:sz w:val="24"/>
                <w:szCs w:val="24"/>
              </w:rPr>
              <w:t xml:space="preserve">Section </w:t>
            </w:r>
            <w:r w:rsidR="00A100BC">
              <w:rPr>
                <w:sz w:val="24"/>
                <w:szCs w:val="24"/>
              </w:rPr>
              <w:t>10.2 / p135</w:t>
            </w:r>
          </w:p>
        </w:tc>
      </w:tr>
      <w:tr w:rsidR="006A4B4E">
        <w:trPr>
          <w:cantSplit/>
        </w:trPr>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Data Collection Report</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182B78">
            <w:pPr>
              <w:pStyle w:val="BodyText"/>
              <w:rPr>
                <w:sz w:val="24"/>
                <w:szCs w:val="24"/>
              </w:rPr>
            </w:pPr>
            <w:r>
              <w:rPr>
                <w:sz w:val="24"/>
                <w:szCs w:val="24"/>
              </w:rPr>
              <w:t>N/A</w:t>
            </w:r>
          </w:p>
        </w:tc>
      </w:tr>
      <w:tr w:rsidR="006A4B4E">
        <w:trPr>
          <w:cantSplit/>
        </w:trPr>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Local Model Validation Report (LMVR)</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182B78">
            <w:pPr>
              <w:pStyle w:val="BodyText"/>
              <w:rPr>
                <w:sz w:val="24"/>
                <w:szCs w:val="24"/>
              </w:rPr>
            </w:pPr>
            <w:r>
              <w:rPr>
                <w:sz w:val="24"/>
                <w:szCs w:val="24"/>
              </w:rPr>
              <w:t>N/A</w:t>
            </w:r>
          </w:p>
        </w:tc>
      </w:tr>
      <w:tr w:rsidR="006A4B4E">
        <w:trPr>
          <w:cantSplit/>
        </w:trPr>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Present Year Validation Report (if required)</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182B78">
            <w:pPr>
              <w:pStyle w:val="BodyText"/>
              <w:rPr>
                <w:sz w:val="24"/>
                <w:szCs w:val="24"/>
              </w:rPr>
            </w:pPr>
            <w:r>
              <w:rPr>
                <w:sz w:val="24"/>
                <w:szCs w:val="24"/>
              </w:rPr>
              <w:t>N/A</w:t>
            </w:r>
          </w:p>
        </w:tc>
      </w:tr>
      <w:tr w:rsidR="006A4B4E">
        <w:trPr>
          <w:cantSplit/>
        </w:trPr>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Forecasting Report</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182B78">
            <w:pPr>
              <w:pStyle w:val="BodyText"/>
              <w:rPr>
                <w:sz w:val="24"/>
                <w:szCs w:val="24"/>
              </w:rPr>
            </w:pPr>
            <w:r>
              <w:rPr>
                <w:sz w:val="24"/>
                <w:szCs w:val="24"/>
              </w:rPr>
              <w:t>N/A</w:t>
            </w:r>
          </w:p>
        </w:tc>
      </w:tr>
      <w:tr w:rsidR="006A4B4E">
        <w:trPr>
          <w:cantSplit/>
        </w:trPr>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Economic Appraisal Report</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182B78">
            <w:pPr>
              <w:pStyle w:val="BodyText"/>
              <w:rPr>
                <w:sz w:val="24"/>
                <w:szCs w:val="24"/>
              </w:rPr>
            </w:pPr>
            <w:r>
              <w:rPr>
                <w:sz w:val="24"/>
                <w:szCs w:val="24"/>
              </w:rPr>
              <w:t>N/A</w:t>
            </w:r>
          </w:p>
        </w:tc>
      </w:tr>
      <w:tr w:rsidR="006A4B4E">
        <w:trPr>
          <w:cantSplit/>
        </w:trPr>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Social and Distributional Impacts Assessment</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182B78">
            <w:pPr>
              <w:pStyle w:val="BodyText"/>
              <w:rPr>
                <w:sz w:val="24"/>
                <w:szCs w:val="24"/>
              </w:rPr>
            </w:pPr>
            <w:r>
              <w:rPr>
                <w:sz w:val="24"/>
                <w:szCs w:val="24"/>
              </w:rPr>
              <w:t>N/A</w:t>
            </w:r>
          </w:p>
        </w:tc>
      </w:tr>
      <w:tr w:rsidR="006A4B4E">
        <w:trPr>
          <w:cantSplit/>
        </w:trPr>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Monitoring and Evaluation Plan</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995E3E">
            <w:pPr>
              <w:pStyle w:val="BodyText"/>
              <w:rPr>
                <w:sz w:val="24"/>
                <w:szCs w:val="24"/>
              </w:rPr>
            </w:pPr>
            <w:r>
              <w:rPr>
                <w:sz w:val="24"/>
                <w:szCs w:val="24"/>
              </w:rPr>
              <w:t xml:space="preserve">Section </w:t>
            </w:r>
            <w:r w:rsidR="00A100BC">
              <w:rPr>
                <w:sz w:val="24"/>
                <w:szCs w:val="24"/>
              </w:rPr>
              <w:t>10.10 / p138</w:t>
            </w:r>
          </w:p>
        </w:tc>
      </w:tr>
    </w:tbl>
    <w:p w:rsidR="006A4B4E" w:rsidRDefault="006A4B4E">
      <w:pPr>
        <w:pStyle w:val="BodyText"/>
        <w:rPr>
          <w:sz w:val="24"/>
          <w:szCs w:val="24"/>
        </w:rPr>
      </w:pPr>
    </w:p>
    <w:p w:rsidR="006A4B4E" w:rsidRDefault="006A4B4E">
      <w:pPr>
        <w:pageBreakBefore/>
        <w:spacing w:before="0" w:after="160" w:line="256" w:lineRule="auto"/>
      </w:pPr>
    </w:p>
    <w:p w:rsidR="006A4B4E" w:rsidRDefault="000A65BF">
      <w:pPr>
        <w:pStyle w:val="Heading2"/>
        <w:rPr>
          <w:sz w:val="24"/>
          <w:szCs w:val="24"/>
        </w:rPr>
      </w:pPr>
      <w:r>
        <w:rPr>
          <w:sz w:val="24"/>
          <w:szCs w:val="24"/>
        </w:rPr>
        <w:t>Management Case</w:t>
      </w:r>
      <w:bookmarkEnd w:id="1"/>
      <w:bookmarkEnd w:id="2"/>
    </w:p>
    <w:tbl>
      <w:tblPr>
        <w:tblW w:w="9180" w:type="dxa"/>
        <w:tblLayout w:type="fixed"/>
        <w:tblCellMar>
          <w:left w:w="10" w:type="dxa"/>
          <w:right w:w="10" w:type="dxa"/>
        </w:tblCellMar>
        <w:tblLook w:val="04A0" w:firstRow="1" w:lastRow="0" w:firstColumn="1" w:lastColumn="0" w:noHBand="0" w:noVBand="1"/>
      </w:tblPr>
      <w:tblGrid>
        <w:gridCol w:w="7083"/>
        <w:gridCol w:w="2097"/>
      </w:tblGrid>
      <w:tr w:rsidR="006A4B4E">
        <w:trPr>
          <w:cantSplit/>
          <w:tblHeader/>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Item</w:t>
            </w:r>
          </w:p>
        </w:tc>
        <w:tc>
          <w:tcPr>
            <w:tcW w:w="2097"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Section/Page</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Governance structure including SRO, Project Board, Project Manager, delivery partners and other key roles</w:t>
            </w:r>
          </w:p>
        </w:tc>
        <w:tc>
          <w:tcPr>
            <w:tcW w:w="2097"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995E3E">
            <w:pPr>
              <w:pStyle w:val="BodyText"/>
              <w:rPr>
                <w:sz w:val="24"/>
                <w:szCs w:val="24"/>
              </w:rPr>
            </w:pPr>
            <w:r>
              <w:rPr>
                <w:sz w:val="24"/>
                <w:szCs w:val="24"/>
              </w:rPr>
              <w:t xml:space="preserve">Section </w:t>
            </w:r>
            <w:r w:rsidR="00A100BC">
              <w:rPr>
                <w:sz w:val="24"/>
                <w:szCs w:val="24"/>
              </w:rPr>
              <w:t>10.4 / p128</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Explanation of roles and responsibilities and resourcing levels</w:t>
            </w:r>
          </w:p>
        </w:tc>
        <w:tc>
          <w:tcPr>
            <w:tcW w:w="2097"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995E3E">
            <w:pPr>
              <w:pStyle w:val="BodyText"/>
              <w:rPr>
                <w:sz w:val="24"/>
                <w:szCs w:val="24"/>
              </w:rPr>
            </w:pPr>
            <w:r>
              <w:rPr>
                <w:sz w:val="24"/>
                <w:szCs w:val="24"/>
              </w:rPr>
              <w:t xml:space="preserve">Section </w:t>
            </w:r>
            <w:r w:rsidR="00A100BC">
              <w:rPr>
                <w:sz w:val="24"/>
                <w:szCs w:val="24"/>
              </w:rPr>
              <w:t>10.4.5 / p129</w:t>
            </w:r>
          </w:p>
        </w:tc>
      </w:tr>
      <w:tr w:rsidR="006A4B4E">
        <w:trPr>
          <w:cantSplit/>
          <w:trHeight w:val="66"/>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 xml:space="preserve">Detailed Project Plan </w:t>
            </w:r>
          </w:p>
        </w:tc>
        <w:tc>
          <w:tcPr>
            <w:tcW w:w="2097"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A100BC">
            <w:pPr>
              <w:pStyle w:val="BodyText"/>
              <w:rPr>
                <w:sz w:val="24"/>
                <w:szCs w:val="24"/>
              </w:rPr>
            </w:pPr>
            <w:r>
              <w:rPr>
                <w:sz w:val="24"/>
                <w:szCs w:val="24"/>
              </w:rPr>
              <w:t>Appendix E / p201</w:t>
            </w:r>
          </w:p>
          <w:p w:rsidR="00182B78" w:rsidRDefault="00182B78" w:rsidP="00995E3E">
            <w:pPr>
              <w:pStyle w:val="BodyText"/>
              <w:rPr>
                <w:sz w:val="24"/>
                <w:szCs w:val="24"/>
              </w:rPr>
            </w:pPr>
            <w:r>
              <w:rPr>
                <w:sz w:val="24"/>
                <w:szCs w:val="24"/>
              </w:rPr>
              <w:t xml:space="preserve">Superseded by Appendix 20 to the </w:t>
            </w:r>
            <w:r w:rsidR="00995E3E">
              <w:rPr>
                <w:sz w:val="24"/>
                <w:szCs w:val="24"/>
              </w:rPr>
              <w:t>application</w:t>
            </w:r>
            <w:r>
              <w:rPr>
                <w:sz w:val="24"/>
                <w:szCs w:val="24"/>
              </w:rPr>
              <w:t xml:space="preserve"> as the project has developed since the OBC was approved.</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Risk Management:</w:t>
            </w:r>
          </w:p>
          <w:p w:rsidR="006A4B4E" w:rsidRDefault="000A65BF">
            <w:pPr>
              <w:pStyle w:val="BodyText"/>
              <w:numPr>
                <w:ilvl w:val="0"/>
                <w:numId w:val="3"/>
              </w:numPr>
              <w:rPr>
                <w:sz w:val="24"/>
                <w:szCs w:val="24"/>
              </w:rPr>
            </w:pPr>
            <w:r>
              <w:rPr>
                <w:sz w:val="24"/>
                <w:szCs w:val="24"/>
              </w:rPr>
              <w:t>Detailed Risk Register</w:t>
            </w:r>
          </w:p>
          <w:p w:rsidR="006A4B4E" w:rsidRDefault="000A65BF">
            <w:pPr>
              <w:pStyle w:val="BodyText"/>
              <w:numPr>
                <w:ilvl w:val="0"/>
                <w:numId w:val="4"/>
              </w:numPr>
              <w:rPr>
                <w:sz w:val="24"/>
                <w:szCs w:val="24"/>
              </w:rPr>
            </w:pPr>
            <w:r>
              <w:rPr>
                <w:sz w:val="24"/>
                <w:szCs w:val="24"/>
              </w:rPr>
              <w:t>Narrative to explain the most significant risks; how they are being managed and their potential impact on time and budget.</w:t>
            </w:r>
          </w:p>
          <w:p w:rsidR="006A4B4E" w:rsidRDefault="000A65BF">
            <w:pPr>
              <w:pStyle w:val="BodyText"/>
              <w:numPr>
                <w:ilvl w:val="0"/>
                <w:numId w:val="4"/>
              </w:numPr>
              <w:rPr>
                <w:sz w:val="24"/>
                <w:szCs w:val="24"/>
              </w:rPr>
            </w:pPr>
            <w:r>
              <w:rPr>
                <w:sz w:val="24"/>
                <w:szCs w:val="24"/>
              </w:rPr>
              <w:t>Risk management strategy</w:t>
            </w:r>
          </w:p>
        </w:tc>
        <w:tc>
          <w:tcPr>
            <w:tcW w:w="2097"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A100BC">
            <w:pPr>
              <w:pStyle w:val="BodyText"/>
              <w:rPr>
                <w:sz w:val="24"/>
                <w:szCs w:val="24"/>
              </w:rPr>
            </w:pPr>
            <w:r>
              <w:rPr>
                <w:sz w:val="24"/>
                <w:szCs w:val="24"/>
              </w:rPr>
              <w:t>Appendix D / p178</w:t>
            </w:r>
          </w:p>
          <w:p w:rsidR="00A100BC" w:rsidRDefault="00995E3E" w:rsidP="00995E3E">
            <w:pPr>
              <w:pStyle w:val="BodyText"/>
              <w:rPr>
                <w:sz w:val="24"/>
                <w:szCs w:val="24"/>
              </w:rPr>
            </w:pPr>
            <w:r>
              <w:rPr>
                <w:sz w:val="24"/>
                <w:szCs w:val="24"/>
              </w:rPr>
              <w:t>An u</w:t>
            </w:r>
            <w:r w:rsidR="00A100BC">
              <w:rPr>
                <w:sz w:val="24"/>
                <w:szCs w:val="24"/>
              </w:rPr>
              <w:t xml:space="preserve">pdated version attached to </w:t>
            </w:r>
            <w:r w:rsidR="00270A18">
              <w:rPr>
                <w:sz w:val="24"/>
                <w:szCs w:val="24"/>
              </w:rPr>
              <w:t>LUF application</w:t>
            </w:r>
            <w:r w:rsidR="00182B78">
              <w:rPr>
                <w:sz w:val="24"/>
                <w:szCs w:val="24"/>
              </w:rPr>
              <w:t>, to reflect diminishing risk of COVID-19 but increased risks associated with materials availability and price volatility. Risks have been updated to reflect significant further design work undertaken by the Council, i.e. ongoing proactive risk identification, management and mitigation</w:t>
            </w:r>
            <w:r>
              <w:rPr>
                <w:sz w:val="24"/>
                <w:szCs w:val="24"/>
              </w:rPr>
              <w:t>.</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lastRenderedPageBreak/>
              <w:t>Project Assurance e.g. Gateway Reviews</w:t>
            </w:r>
          </w:p>
        </w:tc>
        <w:tc>
          <w:tcPr>
            <w:tcW w:w="2097"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995E3E">
            <w:pPr>
              <w:pStyle w:val="BodyText"/>
              <w:rPr>
                <w:sz w:val="24"/>
                <w:szCs w:val="24"/>
              </w:rPr>
            </w:pPr>
            <w:r>
              <w:rPr>
                <w:sz w:val="24"/>
                <w:szCs w:val="24"/>
              </w:rPr>
              <w:t xml:space="preserve">Section </w:t>
            </w:r>
            <w:r w:rsidR="00270A18">
              <w:rPr>
                <w:sz w:val="24"/>
                <w:szCs w:val="24"/>
              </w:rPr>
              <w:t>10.5 / p130</w:t>
            </w:r>
          </w:p>
          <w:p w:rsidR="00182B78" w:rsidRDefault="00182B78">
            <w:pPr>
              <w:pStyle w:val="BodyText"/>
              <w:rPr>
                <w:sz w:val="24"/>
                <w:szCs w:val="24"/>
              </w:rPr>
            </w:pPr>
            <w:r>
              <w:rPr>
                <w:sz w:val="24"/>
                <w:szCs w:val="24"/>
              </w:rPr>
              <w:t>Further developed within LUF application.</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Evaluation: Outline evaluation plan including a statement of core evaluation objectives</w:t>
            </w:r>
          </w:p>
        </w:tc>
        <w:tc>
          <w:tcPr>
            <w:tcW w:w="2097"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995E3E">
            <w:pPr>
              <w:pStyle w:val="BodyText"/>
              <w:rPr>
                <w:sz w:val="24"/>
                <w:szCs w:val="24"/>
              </w:rPr>
            </w:pPr>
            <w:r>
              <w:rPr>
                <w:sz w:val="24"/>
                <w:szCs w:val="24"/>
              </w:rPr>
              <w:t xml:space="preserve">Section </w:t>
            </w:r>
            <w:r w:rsidR="00270A18">
              <w:rPr>
                <w:sz w:val="24"/>
                <w:szCs w:val="24"/>
              </w:rPr>
              <w:t>10.10 / p138</w:t>
            </w:r>
          </w:p>
        </w:tc>
      </w:tr>
    </w:tbl>
    <w:p w:rsidR="006A4B4E" w:rsidRDefault="006A4B4E">
      <w:pPr>
        <w:pStyle w:val="BodyText"/>
        <w:rPr>
          <w:sz w:val="24"/>
          <w:szCs w:val="24"/>
        </w:rPr>
      </w:pPr>
    </w:p>
    <w:p w:rsidR="006A4B4E" w:rsidRDefault="000A65BF">
      <w:pPr>
        <w:pStyle w:val="Heading2"/>
        <w:rPr>
          <w:sz w:val="24"/>
          <w:szCs w:val="24"/>
        </w:rPr>
      </w:pPr>
      <w:bookmarkStart w:id="3" w:name="_Toc173923572"/>
      <w:r>
        <w:rPr>
          <w:sz w:val="24"/>
          <w:szCs w:val="24"/>
        </w:rPr>
        <w:t>Commercial Case</w:t>
      </w:r>
      <w:bookmarkEnd w:id="3"/>
    </w:p>
    <w:tbl>
      <w:tblPr>
        <w:tblW w:w="9180" w:type="dxa"/>
        <w:tblLayout w:type="fixed"/>
        <w:tblCellMar>
          <w:left w:w="10" w:type="dxa"/>
          <w:right w:w="10" w:type="dxa"/>
        </w:tblCellMar>
        <w:tblLook w:val="04A0" w:firstRow="1" w:lastRow="0" w:firstColumn="1" w:lastColumn="0" w:noHBand="0" w:noVBand="1"/>
      </w:tblPr>
      <w:tblGrid>
        <w:gridCol w:w="7054"/>
        <w:gridCol w:w="2126"/>
      </w:tblGrid>
      <w:tr w:rsidR="006A4B4E">
        <w:trPr>
          <w:cantSplit/>
          <w:tblHeader/>
        </w:trPr>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Item</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Section/Page</w:t>
            </w:r>
          </w:p>
        </w:tc>
      </w:tr>
      <w:tr w:rsidR="006A4B4E">
        <w:trPr>
          <w:cantSplit/>
        </w:trPr>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 xml:space="preserve">Description of the preferred procurement strategy. </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995E3E" w:rsidP="0081123C">
            <w:pPr>
              <w:pStyle w:val="BodyText"/>
              <w:rPr>
                <w:sz w:val="24"/>
                <w:szCs w:val="24"/>
              </w:rPr>
            </w:pPr>
            <w:r>
              <w:rPr>
                <w:sz w:val="24"/>
                <w:szCs w:val="24"/>
              </w:rPr>
              <w:t xml:space="preserve">Section </w:t>
            </w:r>
            <w:r w:rsidR="0081123C">
              <w:rPr>
                <w:sz w:val="24"/>
                <w:szCs w:val="24"/>
              </w:rPr>
              <w:t>9.3</w:t>
            </w:r>
            <w:r w:rsidR="00036594">
              <w:rPr>
                <w:sz w:val="24"/>
                <w:szCs w:val="24"/>
              </w:rPr>
              <w:t xml:space="preserve"> / p110</w:t>
            </w:r>
          </w:p>
          <w:p w:rsidR="0081123C" w:rsidRDefault="0081123C" w:rsidP="0081123C">
            <w:pPr>
              <w:pStyle w:val="BodyText"/>
              <w:rPr>
                <w:sz w:val="24"/>
                <w:szCs w:val="24"/>
              </w:rPr>
            </w:pPr>
            <w:r>
              <w:rPr>
                <w:sz w:val="24"/>
                <w:szCs w:val="24"/>
              </w:rPr>
              <w:t>but note that procurement has continued to evolve</w:t>
            </w:r>
            <w:r>
              <w:rPr>
                <w:sz w:val="24"/>
                <w:szCs w:val="24"/>
              </w:rPr>
              <w:t xml:space="preserve"> since OBC was written, with options such as modifying an existing vessel design </w:t>
            </w:r>
          </w:p>
        </w:tc>
      </w:tr>
      <w:tr w:rsidR="006A4B4E">
        <w:trPr>
          <w:cantSplit/>
        </w:trPr>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Rational for the selection of preferred procurement route against possible alternatives.</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81123C" w:rsidRDefault="00995E3E" w:rsidP="0081123C">
            <w:pPr>
              <w:pStyle w:val="BodyText"/>
              <w:rPr>
                <w:sz w:val="24"/>
                <w:szCs w:val="24"/>
              </w:rPr>
            </w:pPr>
            <w:r>
              <w:rPr>
                <w:sz w:val="24"/>
                <w:szCs w:val="24"/>
              </w:rPr>
              <w:t xml:space="preserve">Section </w:t>
            </w:r>
            <w:r w:rsidR="0081123C">
              <w:rPr>
                <w:sz w:val="24"/>
                <w:szCs w:val="24"/>
              </w:rPr>
              <w:t>9.3</w:t>
            </w:r>
            <w:r w:rsidR="00036594">
              <w:rPr>
                <w:sz w:val="24"/>
                <w:szCs w:val="24"/>
              </w:rPr>
              <w:t xml:space="preserve"> / p110</w:t>
            </w:r>
          </w:p>
          <w:p w:rsidR="006A4B4E" w:rsidRDefault="0081123C" w:rsidP="0081123C">
            <w:pPr>
              <w:pStyle w:val="BodyText"/>
              <w:rPr>
                <w:sz w:val="24"/>
                <w:szCs w:val="24"/>
              </w:rPr>
            </w:pPr>
            <w:r>
              <w:rPr>
                <w:sz w:val="24"/>
                <w:szCs w:val="24"/>
              </w:rPr>
              <w:t>but note that procurement has continued to evolve since OBC was written, with options such as modifying an existing vessel design</w:t>
            </w:r>
          </w:p>
        </w:tc>
      </w:tr>
      <w:tr w:rsidR="006A4B4E">
        <w:trPr>
          <w:cantSplit/>
        </w:trPr>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Explanation of how costs and risks will be shared throughout the contract.</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1123C">
            <w:pPr>
              <w:pStyle w:val="BodyText"/>
              <w:rPr>
                <w:sz w:val="24"/>
                <w:szCs w:val="24"/>
              </w:rPr>
            </w:pPr>
            <w:r>
              <w:rPr>
                <w:sz w:val="24"/>
                <w:szCs w:val="24"/>
              </w:rPr>
              <w:t>Chapters 8 &amp; 9</w:t>
            </w:r>
            <w:r w:rsidR="00036594">
              <w:rPr>
                <w:sz w:val="24"/>
                <w:szCs w:val="24"/>
              </w:rPr>
              <w:t xml:space="preserve"> / p101 - 123</w:t>
            </w:r>
          </w:p>
          <w:p w:rsidR="0081123C" w:rsidRDefault="0081123C">
            <w:pPr>
              <w:pStyle w:val="BodyText"/>
              <w:rPr>
                <w:sz w:val="24"/>
                <w:szCs w:val="24"/>
              </w:rPr>
            </w:pPr>
            <w:r>
              <w:rPr>
                <w:sz w:val="24"/>
                <w:szCs w:val="24"/>
              </w:rPr>
              <w:t>Please note that we have continued to develop the proposition</w:t>
            </w:r>
          </w:p>
        </w:tc>
      </w:tr>
    </w:tbl>
    <w:p w:rsidR="006A4B4E" w:rsidRDefault="006A4B4E">
      <w:pPr>
        <w:pStyle w:val="BodyText"/>
        <w:rPr>
          <w:sz w:val="24"/>
          <w:szCs w:val="24"/>
        </w:rPr>
      </w:pPr>
      <w:bookmarkStart w:id="4" w:name="_Toc173923576"/>
    </w:p>
    <w:p w:rsidR="006A4B4E" w:rsidRDefault="000A65BF">
      <w:pPr>
        <w:pStyle w:val="Heading2"/>
        <w:rPr>
          <w:sz w:val="24"/>
          <w:szCs w:val="24"/>
        </w:rPr>
      </w:pPr>
      <w:r>
        <w:rPr>
          <w:sz w:val="24"/>
          <w:szCs w:val="24"/>
        </w:rPr>
        <w:t>Financial Case</w:t>
      </w:r>
      <w:bookmarkEnd w:id="4"/>
    </w:p>
    <w:tbl>
      <w:tblPr>
        <w:tblW w:w="9180" w:type="dxa"/>
        <w:tblLayout w:type="fixed"/>
        <w:tblCellMar>
          <w:left w:w="10" w:type="dxa"/>
          <w:right w:w="10" w:type="dxa"/>
        </w:tblCellMar>
        <w:tblLook w:val="04A0" w:firstRow="1" w:lastRow="0" w:firstColumn="1" w:lastColumn="0" w:noHBand="0" w:noVBand="1"/>
      </w:tblPr>
      <w:tblGrid>
        <w:gridCol w:w="7054"/>
        <w:gridCol w:w="2126"/>
      </w:tblGrid>
      <w:tr w:rsidR="006A4B4E">
        <w:trPr>
          <w:cantSplit/>
          <w:tblHeader/>
        </w:trPr>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lastRenderedPageBreak/>
              <w:t>Item</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Section/Page</w:t>
            </w:r>
          </w:p>
        </w:tc>
      </w:tr>
      <w:tr w:rsidR="006A4B4E">
        <w:trPr>
          <w:cantSplit/>
        </w:trPr>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Detailed cost breakdown</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270A18">
            <w:pPr>
              <w:pStyle w:val="BodyText"/>
              <w:rPr>
                <w:sz w:val="24"/>
                <w:szCs w:val="24"/>
              </w:rPr>
            </w:pPr>
            <w:r>
              <w:rPr>
                <w:sz w:val="24"/>
                <w:szCs w:val="24"/>
              </w:rPr>
              <w:t>Appendix B / p143</w:t>
            </w:r>
          </w:p>
          <w:p w:rsidR="0081123C" w:rsidRDefault="0081123C">
            <w:pPr>
              <w:pStyle w:val="BodyText"/>
              <w:rPr>
                <w:sz w:val="24"/>
                <w:szCs w:val="24"/>
              </w:rPr>
            </w:pPr>
            <w:r>
              <w:rPr>
                <w:sz w:val="24"/>
                <w:szCs w:val="24"/>
              </w:rPr>
              <w:t>Please note that LUF project workbook within application includes updates to reflect inflation and market conditions</w:t>
            </w:r>
          </w:p>
        </w:tc>
      </w:tr>
      <w:tr w:rsidR="006A4B4E">
        <w:trPr>
          <w:cantSplit/>
        </w:trPr>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Detailed breakdown of funding sources, including UK Government contribution, local and any third-party contributions</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36594">
            <w:pPr>
              <w:pStyle w:val="BodyText"/>
              <w:rPr>
                <w:sz w:val="24"/>
                <w:szCs w:val="24"/>
              </w:rPr>
            </w:pPr>
            <w:r>
              <w:rPr>
                <w:sz w:val="24"/>
                <w:szCs w:val="24"/>
              </w:rPr>
              <w:t xml:space="preserve">Section </w:t>
            </w:r>
            <w:r w:rsidR="00270A18">
              <w:rPr>
                <w:sz w:val="24"/>
                <w:szCs w:val="24"/>
              </w:rPr>
              <w:t>8.2 / p101</w:t>
            </w:r>
            <w:r>
              <w:rPr>
                <w:sz w:val="24"/>
                <w:szCs w:val="24"/>
              </w:rPr>
              <w:t>;</w:t>
            </w:r>
          </w:p>
          <w:p w:rsidR="0081123C" w:rsidRDefault="00036594">
            <w:pPr>
              <w:pStyle w:val="BodyText"/>
              <w:rPr>
                <w:sz w:val="24"/>
                <w:szCs w:val="24"/>
              </w:rPr>
            </w:pPr>
            <w:r>
              <w:rPr>
                <w:sz w:val="24"/>
                <w:szCs w:val="24"/>
              </w:rPr>
              <w:t xml:space="preserve">Section </w:t>
            </w:r>
            <w:r w:rsidR="0081123C">
              <w:rPr>
                <w:sz w:val="24"/>
                <w:szCs w:val="24"/>
              </w:rPr>
              <w:t xml:space="preserve">9.3.1 – 9.3.17 </w:t>
            </w:r>
            <w:r>
              <w:rPr>
                <w:sz w:val="24"/>
                <w:szCs w:val="24"/>
              </w:rPr>
              <w:t xml:space="preserve">/ p110 </w:t>
            </w:r>
            <w:r>
              <w:rPr>
                <w:sz w:val="24"/>
                <w:szCs w:val="24"/>
              </w:rPr>
              <w:t>(Vessel)</w:t>
            </w:r>
            <w:r>
              <w:rPr>
                <w:sz w:val="24"/>
                <w:szCs w:val="24"/>
              </w:rPr>
              <w:t>;</w:t>
            </w:r>
          </w:p>
          <w:p w:rsidR="0081123C" w:rsidRDefault="00036594">
            <w:pPr>
              <w:pStyle w:val="BodyText"/>
              <w:rPr>
                <w:sz w:val="24"/>
                <w:szCs w:val="24"/>
              </w:rPr>
            </w:pPr>
            <w:r>
              <w:rPr>
                <w:sz w:val="24"/>
                <w:szCs w:val="24"/>
              </w:rPr>
              <w:t xml:space="preserve">Section </w:t>
            </w:r>
            <w:r w:rsidR="0081123C">
              <w:rPr>
                <w:sz w:val="24"/>
                <w:szCs w:val="24"/>
              </w:rPr>
              <w:t>9.3.19 – 9.3.21</w:t>
            </w:r>
            <w:r>
              <w:rPr>
                <w:sz w:val="24"/>
                <w:szCs w:val="24"/>
              </w:rPr>
              <w:t xml:space="preserve"> / p113 </w:t>
            </w:r>
            <w:r w:rsidR="0081123C">
              <w:rPr>
                <w:sz w:val="24"/>
                <w:szCs w:val="24"/>
              </w:rPr>
              <w:t>(Infrastructure)</w:t>
            </w:r>
            <w:r>
              <w:rPr>
                <w:sz w:val="24"/>
                <w:szCs w:val="24"/>
              </w:rPr>
              <w:t>;</w:t>
            </w:r>
            <w:r w:rsidR="0081123C">
              <w:rPr>
                <w:sz w:val="24"/>
                <w:szCs w:val="24"/>
              </w:rPr>
              <w:t xml:space="preserve"> </w:t>
            </w:r>
          </w:p>
          <w:p w:rsidR="00270A18" w:rsidRDefault="00270A18">
            <w:pPr>
              <w:pStyle w:val="BodyText"/>
              <w:rPr>
                <w:sz w:val="24"/>
                <w:szCs w:val="24"/>
              </w:rPr>
            </w:pPr>
            <w:r>
              <w:rPr>
                <w:sz w:val="24"/>
                <w:szCs w:val="24"/>
              </w:rPr>
              <w:t>Appendix C / p147</w:t>
            </w:r>
          </w:p>
          <w:p w:rsidR="0081123C" w:rsidRDefault="0081123C">
            <w:pPr>
              <w:pStyle w:val="BodyText"/>
              <w:rPr>
                <w:sz w:val="24"/>
                <w:szCs w:val="24"/>
              </w:rPr>
            </w:pPr>
          </w:p>
          <w:p w:rsidR="0081123C" w:rsidRDefault="0081123C">
            <w:pPr>
              <w:pStyle w:val="BodyText"/>
              <w:rPr>
                <w:sz w:val="24"/>
                <w:szCs w:val="24"/>
              </w:rPr>
            </w:pPr>
            <w:r>
              <w:rPr>
                <w:sz w:val="24"/>
                <w:szCs w:val="24"/>
              </w:rPr>
              <w:t>Continuously under review.</w:t>
            </w:r>
          </w:p>
        </w:tc>
      </w:tr>
      <w:tr w:rsidR="006A4B4E">
        <w:trPr>
          <w:cantSplit/>
        </w:trPr>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Explanation of the status of any third-party contributions (i.e. whether these contributions are secured and confirmed) and supporting evidence</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1123C" w:rsidP="0081123C">
            <w:pPr>
              <w:pStyle w:val="BodyText"/>
              <w:rPr>
                <w:sz w:val="24"/>
                <w:szCs w:val="24"/>
              </w:rPr>
            </w:pPr>
            <w:r>
              <w:rPr>
                <w:sz w:val="24"/>
                <w:szCs w:val="24"/>
              </w:rPr>
              <w:t>The Council’s contribution was specifically confirmed by elected Members as part of LUF application preparation. No other sources of sources of financial contribution have been identified at this time.</w:t>
            </w:r>
          </w:p>
        </w:tc>
      </w:tr>
      <w:tr w:rsidR="006A4B4E">
        <w:trPr>
          <w:cantSplit/>
        </w:trPr>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lastRenderedPageBreak/>
              <w:t>Independent surveyor's report verifying cost estimates.</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80199A" w:rsidRDefault="0080199A">
            <w:pPr>
              <w:pStyle w:val="BodyText"/>
              <w:rPr>
                <w:sz w:val="24"/>
                <w:szCs w:val="24"/>
              </w:rPr>
            </w:pPr>
            <w:r>
              <w:rPr>
                <w:sz w:val="24"/>
                <w:szCs w:val="24"/>
              </w:rPr>
              <w:t>Cost estimates have been developed by globally respected Marine Civil Engineering Consultants Mott MacDonald, as described in LUF application.</w:t>
            </w:r>
          </w:p>
          <w:p w:rsidR="0080199A" w:rsidRDefault="0080199A">
            <w:pPr>
              <w:pStyle w:val="BodyText"/>
              <w:rPr>
                <w:sz w:val="24"/>
                <w:szCs w:val="24"/>
              </w:rPr>
            </w:pPr>
          </w:p>
          <w:p w:rsidR="006A4B4E" w:rsidRDefault="0080199A">
            <w:pPr>
              <w:pStyle w:val="BodyText"/>
              <w:rPr>
                <w:sz w:val="24"/>
                <w:szCs w:val="24"/>
              </w:rPr>
            </w:pPr>
            <w:r>
              <w:rPr>
                <w:sz w:val="24"/>
                <w:szCs w:val="24"/>
              </w:rPr>
              <w:t xml:space="preserve">The Mott MacDonald, which led the costing work, has vast experience of lifeline ferry related infrastructure in remote island locations. </w:t>
            </w:r>
          </w:p>
        </w:tc>
      </w:tr>
      <w:tr w:rsidR="006A4B4E">
        <w:trPr>
          <w:cantSplit/>
        </w:trPr>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Details of and justification for inflation assumption used.</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0199A">
            <w:pPr>
              <w:pStyle w:val="BodyText"/>
              <w:rPr>
                <w:sz w:val="24"/>
                <w:szCs w:val="24"/>
              </w:rPr>
            </w:pPr>
            <w:r>
              <w:rPr>
                <w:sz w:val="24"/>
                <w:szCs w:val="24"/>
              </w:rPr>
              <w:t>Inflation assumptions specifically updated in LUF application to reflect most recent published forecasts (single project workbook)</w:t>
            </w:r>
          </w:p>
        </w:tc>
      </w:tr>
      <w:tr w:rsidR="006A4B4E">
        <w:trPr>
          <w:cantSplit/>
        </w:trPr>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Quantified Risk Assessment</w:t>
            </w:r>
          </w:p>
          <w:p w:rsidR="006A4B4E" w:rsidRDefault="000A65BF">
            <w:pPr>
              <w:pStyle w:val="BodyText"/>
              <w:rPr>
                <w:sz w:val="24"/>
                <w:szCs w:val="24"/>
              </w:rPr>
            </w:pPr>
            <w:r>
              <w:rPr>
                <w:sz w:val="24"/>
                <w:szCs w:val="24"/>
              </w:rPr>
              <w:t>All scheme costings should include an amount for risk, based on the results of a Quantified Risk Assessment (QRA) which should be proportionate to the nature and complexity of the project.</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0199A">
            <w:pPr>
              <w:pStyle w:val="BodyText"/>
              <w:rPr>
                <w:sz w:val="24"/>
                <w:szCs w:val="24"/>
              </w:rPr>
            </w:pPr>
            <w:r>
              <w:rPr>
                <w:sz w:val="24"/>
                <w:szCs w:val="24"/>
              </w:rPr>
              <w:t>Detailed within LUF application response.</w:t>
            </w:r>
          </w:p>
        </w:tc>
      </w:tr>
    </w:tbl>
    <w:p w:rsidR="006A4B4E" w:rsidRDefault="006A4B4E">
      <w:pPr>
        <w:pStyle w:val="BodyText"/>
        <w:rPr>
          <w:sz w:val="24"/>
          <w:szCs w:val="24"/>
        </w:rPr>
      </w:pPr>
    </w:p>
    <w:p w:rsidR="006A4B4E" w:rsidRDefault="000A65BF">
      <w:pPr>
        <w:pStyle w:val="Heading1"/>
        <w:rPr>
          <w:sz w:val="24"/>
          <w:szCs w:val="24"/>
        </w:rPr>
      </w:pPr>
      <w:r>
        <w:rPr>
          <w:sz w:val="24"/>
          <w:szCs w:val="24"/>
        </w:rPr>
        <w:t>Checklist of appraisal and modelling supporting material</w:t>
      </w:r>
    </w:p>
    <w:p w:rsidR="006A4B4E" w:rsidRDefault="006A4B4E">
      <w:pPr>
        <w:pStyle w:val="BodyText"/>
        <w:rPr>
          <w:sz w:val="24"/>
          <w:szCs w:val="24"/>
        </w:rPr>
      </w:pPr>
    </w:p>
    <w:p w:rsidR="006A4B4E" w:rsidRDefault="000A65BF">
      <w:pPr>
        <w:pStyle w:val="Heading2"/>
        <w:rPr>
          <w:sz w:val="24"/>
          <w:szCs w:val="24"/>
        </w:rPr>
      </w:pPr>
      <w:r>
        <w:rPr>
          <w:sz w:val="24"/>
          <w:szCs w:val="24"/>
        </w:rPr>
        <w:t>Option Assessment</w:t>
      </w:r>
    </w:p>
    <w:tbl>
      <w:tblPr>
        <w:tblW w:w="9180" w:type="dxa"/>
        <w:tblLayout w:type="fixed"/>
        <w:tblCellMar>
          <w:left w:w="10" w:type="dxa"/>
          <w:right w:w="10" w:type="dxa"/>
        </w:tblCellMar>
        <w:tblLook w:val="04A0" w:firstRow="1" w:lastRow="0" w:firstColumn="1" w:lastColumn="0" w:noHBand="0" w:noVBand="1"/>
      </w:tblPr>
      <w:tblGrid>
        <w:gridCol w:w="7083"/>
        <w:gridCol w:w="2097"/>
      </w:tblGrid>
      <w:tr w:rsidR="006A4B4E">
        <w:trPr>
          <w:cantSplit/>
          <w:tblHeader/>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lastRenderedPageBreak/>
              <w:t>Item</w:t>
            </w:r>
          </w:p>
        </w:tc>
        <w:tc>
          <w:tcPr>
            <w:tcW w:w="2097"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Section/Page</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An Option Assessment Report to include steps 1 to 8 set out in WebTAG – the transport appraisal process.</w:t>
            </w:r>
          </w:p>
        </w:tc>
        <w:tc>
          <w:tcPr>
            <w:tcW w:w="2097"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0199A" w:rsidP="00036594">
            <w:pPr>
              <w:pStyle w:val="BodyText"/>
              <w:rPr>
                <w:sz w:val="24"/>
                <w:szCs w:val="24"/>
              </w:rPr>
            </w:pPr>
            <w:r>
              <w:rPr>
                <w:sz w:val="24"/>
                <w:szCs w:val="24"/>
              </w:rPr>
              <w:t xml:space="preserve">In accordance with STAG – Scottish Transport Appraisal Guidance, is attached to the LUF application </w:t>
            </w:r>
            <w:r w:rsidR="00036594">
              <w:rPr>
                <w:sz w:val="24"/>
                <w:szCs w:val="24"/>
              </w:rPr>
              <w:t>question –“</w:t>
            </w:r>
            <w:r w:rsidR="00036594">
              <w:t xml:space="preserve"> </w:t>
            </w:r>
            <w:r w:rsidR="00036594" w:rsidRPr="00036594">
              <w:rPr>
                <w:sz w:val="24"/>
                <w:szCs w:val="24"/>
              </w:rPr>
              <w:t>Explain what you are proposing to invest in and why the proposed interventions in the bid will address those challenges and barriers</w:t>
            </w:r>
            <w:r w:rsidR="00036594">
              <w:rPr>
                <w:sz w:val="24"/>
                <w:szCs w:val="24"/>
              </w:rPr>
              <w:t>”</w:t>
            </w:r>
          </w:p>
        </w:tc>
      </w:tr>
    </w:tbl>
    <w:p w:rsidR="006A4B4E" w:rsidRDefault="006A4B4E">
      <w:pPr>
        <w:pStyle w:val="BodyText"/>
        <w:rPr>
          <w:sz w:val="24"/>
          <w:szCs w:val="24"/>
        </w:rPr>
      </w:pPr>
    </w:p>
    <w:p w:rsidR="006A4B4E" w:rsidRDefault="000A65BF">
      <w:pPr>
        <w:pStyle w:val="Heading2"/>
        <w:rPr>
          <w:sz w:val="24"/>
          <w:szCs w:val="24"/>
        </w:rPr>
      </w:pPr>
      <w:r>
        <w:rPr>
          <w:sz w:val="24"/>
          <w:szCs w:val="24"/>
        </w:rPr>
        <w:t>Modelling</w:t>
      </w:r>
    </w:p>
    <w:tbl>
      <w:tblPr>
        <w:tblW w:w="9209" w:type="dxa"/>
        <w:tblLayout w:type="fixed"/>
        <w:tblCellMar>
          <w:left w:w="10" w:type="dxa"/>
          <w:right w:w="10" w:type="dxa"/>
        </w:tblCellMar>
        <w:tblLook w:val="04A0" w:firstRow="1" w:lastRow="0" w:firstColumn="1" w:lastColumn="0" w:noHBand="0" w:noVBand="1"/>
      </w:tblPr>
      <w:tblGrid>
        <w:gridCol w:w="7083"/>
        <w:gridCol w:w="2126"/>
      </w:tblGrid>
      <w:tr w:rsidR="006A4B4E">
        <w:trPr>
          <w:cantSplit/>
          <w:tblHeader/>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Item</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Section/Page</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Details of the sources, locations (illustrated on a map), methods of collection, dates, days of week, durations, sample factors, estimation of accuracy, etc.</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0199A">
            <w:pPr>
              <w:pStyle w:val="BodyText"/>
              <w:rPr>
                <w:sz w:val="24"/>
                <w:szCs w:val="24"/>
              </w:rPr>
            </w:pPr>
            <w:r>
              <w:rPr>
                <w:sz w:val="24"/>
                <w:szCs w:val="24"/>
              </w:rPr>
              <w:t>N/A to a ferries project of this nature</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Details of any specialist surveys (e.g. stated preference).</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0199A">
            <w:pPr>
              <w:pStyle w:val="BodyText"/>
              <w:rPr>
                <w:sz w:val="24"/>
                <w:szCs w:val="24"/>
              </w:rPr>
            </w:pPr>
            <w:r>
              <w:rPr>
                <w:sz w:val="24"/>
                <w:szCs w:val="24"/>
              </w:rPr>
              <w:t>Topographic &amp; Bathymetric (available if needed)</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An Existing Data and Traffic Surveys Report to include:</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6A4B4E">
            <w:pPr>
              <w:pStyle w:val="BodyText"/>
              <w:rPr>
                <w:sz w:val="24"/>
                <w:szCs w:val="24"/>
              </w:rPr>
            </w:pP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Traffic and passenger flows; including daily, hourly and seasonal profiles, including details by vehicle class where appropriate.</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0199A" w:rsidP="00036594">
            <w:pPr>
              <w:pStyle w:val="BodyText"/>
              <w:rPr>
                <w:sz w:val="24"/>
                <w:szCs w:val="24"/>
              </w:rPr>
            </w:pPr>
            <w:r>
              <w:rPr>
                <w:sz w:val="24"/>
                <w:szCs w:val="24"/>
              </w:rPr>
              <w:t xml:space="preserve">Chapter 4 </w:t>
            </w:r>
            <w:r w:rsidR="00036594">
              <w:rPr>
                <w:sz w:val="24"/>
                <w:szCs w:val="24"/>
              </w:rPr>
              <w:t xml:space="preserve">/ p47-54, </w:t>
            </w:r>
            <w:r>
              <w:rPr>
                <w:sz w:val="24"/>
                <w:szCs w:val="24"/>
              </w:rPr>
              <w:t>contains connectivity and carryings analysis</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Journey times by mode, including variability if appropriate.</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0199A">
            <w:pPr>
              <w:pStyle w:val="BodyText"/>
              <w:rPr>
                <w:sz w:val="24"/>
                <w:szCs w:val="24"/>
              </w:rPr>
            </w:pPr>
            <w:r>
              <w:rPr>
                <w:sz w:val="24"/>
                <w:szCs w:val="24"/>
              </w:rPr>
              <w:t>N/A</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Details of the pattern and scale of traffic delays and queues.</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0199A">
            <w:pPr>
              <w:pStyle w:val="BodyText"/>
              <w:rPr>
                <w:sz w:val="24"/>
                <w:szCs w:val="24"/>
              </w:rPr>
            </w:pPr>
            <w:r>
              <w:rPr>
                <w:sz w:val="24"/>
                <w:szCs w:val="24"/>
              </w:rPr>
              <w:t>N/A</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 xml:space="preserve">Desire line diagrams for important parts of the network. </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0199A">
            <w:pPr>
              <w:pStyle w:val="BodyText"/>
              <w:rPr>
                <w:sz w:val="24"/>
                <w:szCs w:val="24"/>
              </w:rPr>
            </w:pPr>
            <w:r>
              <w:rPr>
                <w:sz w:val="24"/>
                <w:szCs w:val="24"/>
              </w:rPr>
              <w:t>N/A</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Diagrams of existing traffic flows, both in the immediate corridor and other relevant corridors.</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0199A">
            <w:pPr>
              <w:pStyle w:val="BodyText"/>
              <w:rPr>
                <w:sz w:val="24"/>
                <w:szCs w:val="24"/>
              </w:rPr>
            </w:pPr>
            <w:r>
              <w:rPr>
                <w:sz w:val="24"/>
                <w:szCs w:val="24"/>
              </w:rPr>
              <w:t>N/A</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An Assignment Model Validation Report to include:</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6A4B4E">
            <w:pPr>
              <w:pStyle w:val="BodyText"/>
              <w:rPr>
                <w:sz w:val="24"/>
                <w:szCs w:val="24"/>
              </w:rPr>
            </w:pP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lastRenderedPageBreak/>
              <w:t xml:space="preserve">Description of the road traffic and public transport passenger assignment model development, including model network and zone plans, details of treatment of congestion on the road system and crowding on the public transport system.  </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0199A">
            <w:pPr>
              <w:pStyle w:val="BodyText"/>
              <w:rPr>
                <w:sz w:val="24"/>
                <w:szCs w:val="24"/>
              </w:rPr>
            </w:pPr>
            <w:r>
              <w:rPr>
                <w:sz w:val="24"/>
                <w:szCs w:val="24"/>
              </w:rPr>
              <w:t>N/A</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Description of the data used in model building and validation with a clear distinction made for any independent validation data.</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0199A">
            <w:pPr>
              <w:pStyle w:val="BodyText"/>
              <w:rPr>
                <w:sz w:val="24"/>
                <w:szCs w:val="24"/>
              </w:rPr>
            </w:pPr>
            <w:r>
              <w:rPr>
                <w:sz w:val="24"/>
                <w:szCs w:val="24"/>
              </w:rPr>
              <w:t>N/A</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 xml:space="preserve">Evidence of the validity of the networks employed, including range checks, link length checks, and route choice evidence. </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0199A">
            <w:pPr>
              <w:pStyle w:val="BodyText"/>
              <w:rPr>
                <w:sz w:val="24"/>
                <w:szCs w:val="24"/>
              </w:rPr>
            </w:pPr>
            <w:r>
              <w:rPr>
                <w:sz w:val="24"/>
                <w:szCs w:val="24"/>
              </w:rPr>
              <w:t>N/A</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Details of the segmentation used, including the rationale for that chosen.</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0199A">
            <w:pPr>
              <w:pStyle w:val="BodyText"/>
              <w:rPr>
                <w:sz w:val="24"/>
                <w:szCs w:val="24"/>
              </w:rPr>
            </w:pPr>
            <w:r>
              <w:rPr>
                <w:sz w:val="24"/>
                <w:szCs w:val="24"/>
              </w:rPr>
              <w:t>N/A</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Validation of the trip matrices, including estimation of measurement and sample errors.</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0199A">
            <w:pPr>
              <w:pStyle w:val="BodyText"/>
              <w:rPr>
                <w:sz w:val="24"/>
                <w:szCs w:val="24"/>
              </w:rPr>
            </w:pPr>
            <w:r>
              <w:rPr>
                <w:sz w:val="24"/>
                <w:szCs w:val="24"/>
              </w:rPr>
              <w:t>N/A</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Details of any 'matrix estimation' techniques used and evidence of the effect of the estimation process on the scale and pattern of the base travel matrices.</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0199A">
            <w:pPr>
              <w:pStyle w:val="BodyText"/>
              <w:rPr>
                <w:sz w:val="24"/>
                <w:szCs w:val="24"/>
              </w:rPr>
            </w:pPr>
            <w:r>
              <w:rPr>
                <w:sz w:val="24"/>
                <w:szCs w:val="24"/>
              </w:rPr>
              <w:t>N/A</w:t>
            </w:r>
          </w:p>
        </w:tc>
      </w:tr>
      <w:tr w:rsidR="006A4B4E">
        <w:trPr>
          <w:cantSplit/>
          <w:trHeight w:val="602"/>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Validation of the trip assignment, including comparisons of flows (on links and across screenlines/cordons) and, for road traffic models, turning movements at key junctions.</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0199A">
            <w:pPr>
              <w:pStyle w:val="BodyText"/>
              <w:rPr>
                <w:sz w:val="24"/>
                <w:szCs w:val="24"/>
              </w:rPr>
            </w:pPr>
            <w:r>
              <w:rPr>
                <w:sz w:val="24"/>
                <w:szCs w:val="24"/>
              </w:rPr>
              <w:t>N/A</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Journey time validation, including, for road traffic models, checks on queue pattern and magnitudes of delays/queues.</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0199A">
            <w:pPr>
              <w:pStyle w:val="BodyText"/>
              <w:rPr>
                <w:sz w:val="24"/>
                <w:szCs w:val="24"/>
              </w:rPr>
            </w:pPr>
            <w:r>
              <w:rPr>
                <w:sz w:val="24"/>
                <w:szCs w:val="24"/>
              </w:rPr>
              <w:t>N/A</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Detail of the assignment convergence.</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0199A">
            <w:pPr>
              <w:pStyle w:val="BodyText"/>
              <w:rPr>
                <w:sz w:val="24"/>
                <w:szCs w:val="24"/>
              </w:rPr>
            </w:pPr>
            <w:r>
              <w:rPr>
                <w:sz w:val="24"/>
                <w:szCs w:val="24"/>
              </w:rPr>
              <w:t>N/A</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 xml:space="preserve">Present year validation if the model is more than 5 years old. </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0199A">
            <w:pPr>
              <w:pStyle w:val="BodyText"/>
              <w:rPr>
                <w:sz w:val="24"/>
                <w:szCs w:val="24"/>
              </w:rPr>
            </w:pPr>
            <w:r>
              <w:rPr>
                <w:sz w:val="24"/>
                <w:szCs w:val="24"/>
              </w:rPr>
              <w:t>N/A</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A diagram of modelled traffic flows, both in the immediate corridor and other relevant corridors.</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0199A">
            <w:pPr>
              <w:pStyle w:val="BodyText"/>
              <w:rPr>
                <w:sz w:val="24"/>
                <w:szCs w:val="24"/>
              </w:rPr>
            </w:pPr>
            <w:r>
              <w:rPr>
                <w:sz w:val="24"/>
                <w:szCs w:val="24"/>
              </w:rPr>
              <w:t>N/A</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A Demand Model Report to include:</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6A4B4E">
            <w:pPr>
              <w:pStyle w:val="BodyText"/>
              <w:rPr>
                <w:sz w:val="24"/>
                <w:szCs w:val="24"/>
              </w:rPr>
            </w:pPr>
          </w:p>
        </w:tc>
      </w:tr>
      <w:tr w:rsidR="006A4B4E">
        <w:trPr>
          <w:cantSplit/>
        </w:trPr>
        <w:tc>
          <w:tcPr>
            <w:tcW w:w="7083" w:type="dxa"/>
            <w:tcBorders>
              <w:top w:val="single" w:sz="4" w:space="0" w:color="00000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Where no Variable Demand Model has been developed evidence should be provided to support this decision (e.g. follow guidance in WebTAG M2 Variable Demand Modelling – section 2.2).</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0199A">
            <w:pPr>
              <w:pStyle w:val="BodyText"/>
              <w:rPr>
                <w:sz w:val="24"/>
                <w:szCs w:val="24"/>
              </w:rPr>
            </w:pPr>
            <w:r>
              <w:rPr>
                <w:sz w:val="24"/>
                <w:szCs w:val="24"/>
              </w:rPr>
              <w:t>N/A</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Description of the demand model.</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0199A">
            <w:pPr>
              <w:pStyle w:val="BodyText"/>
              <w:rPr>
                <w:sz w:val="24"/>
                <w:szCs w:val="24"/>
              </w:rPr>
            </w:pPr>
            <w:r>
              <w:rPr>
                <w:sz w:val="24"/>
                <w:szCs w:val="24"/>
              </w:rPr>
              <w:t>N/A</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Description of the data used in the model building and validation.</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0199A">
            <w:pPr>
              <w:pStyle w:val="BodyText"/>
              <w:rPr>
                <w:sz w:val="24"/>
                <w:szCs w:val="24"/>
              </w:rPr>
            </w:pPr>
            <w:r>
              <w:rPr>
                <w:sz w:val="24"/>
                <w:szCs w:val="24"/>
              </w:rPr>
              <w:t>N/A</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Details of the segmentation used, including the rationale for that chosen. This should include justification for any segments remaining fixed.</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0199A">
            <w:pPr>
              <w:pStyle w:val="BodyText"/>
              <w:rPr>
                <w:sz w:val="24"/>
                <w:szCs w:val="24"/>
              </w:rPr>
            </w:pPr>
            <w:r>
              <w:rPr>
                <w:sz w:val="24"/>
                <w:szCs w:val="24"/>
              </w:rPr>
              <w:t>N/A</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Evidence of model calibration and validation and details of any sensitivity tests.</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0199A">
            <w:pPr>
              <w:pStyle w:val="BodyText"/>
              <w:rPr>
                <w:sz w:val="24"/>
                <w:szCs w:val="24"/>
              </w:rPr>
            </w:pPr>
            <w:r>
              <w:rPr>
                <w:sz w:val="24"/>
                <w:szCs w:val="24"/>
              </w:rPr>
              <w:t>N/A</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lastRenderedPageBreak/>
              <w:t>Details of any imported model components and rationale for their use.</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0199A">
            <w:pPr>
              <w:pStyle w:val="BodyText"/>
              <w:rPr>
                <w:sz w:val="24"/>
                <w:szCs w:val="24"/>
              </w:rPr>
            </w:pPr>
            <w:r>
              <w:rPr>
                <w:sz w:val="24"/>
                <w:szCs w:val="24"/>
              </w:rPr>
              <w:t>N/A</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Validation of the supply model sensitivity in cases where the detailed assignment models do not iterate directly with the demand model.</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0199A">
            <w:pPr>
              <w:pStyle w:val="BodyText"/>
              <w:rPr>
                <w:sz w:val="24"/>
                <w:szCs w:val="24"/>
              </w:rPr>
            </w:pPr>
            <w:r>
              <w:rPr>
                <w:sz w:val="24"/>
                <w:szCs w:val="24"/>
              </w:rPr>
              <w:t>N/A</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Details of the realism testing, including outturn elasticities of demand with respect to fuel cost and public transport fares.</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0199A">
            <w:pPr>
              <w:pStyle w:val="BodyText"/>
              <w:rPr>
                <w:sz w:val="24"/>
                <w:szCs w:val="24"/>
              </w:rPr>
            </w:pPr>
            <w:r>
              <w:rPr>
                <w:sz w:val="24"/>
                <w:szCs w:val="24"/>
              </w:rPr>
              <w:t>N/A</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Details of the demand/supply convergence.</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0199A">
            <w:pPr>
              <w:pStyle w:val="BodyText"/>
              <w:rPr>
                <w:sz w:val="24"/>
                <w:szCs w:val="24"/>
              </w:rPr>
            </w:pPr>
            <w:r>
              <w:rPr>
                <w:sz w:val="24"/>
                <w:szCs w:val="24"/>
              </w:rPr>
              <w:t>N/A</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A Forecasting Report to include:</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6A4B4E">
            <w:pPr>
              <w:pStyle w:val="BodyText"/>
              <w:rPr>
                <w:sz w:val="24"/>
                <w:szCs w:val="24"/>
              </w:rPr>
            </w:pP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Description of the methods used in forecasting future traffic demand.</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0199A">
            <w:pPr>
              <w:pStyle w:val="BodyText"/>
              <w:rPr>
                <w:sz w:val="24"/>
                <w:szCs w:val="24"/>
              </w:rPr>
            </w:pPr>
            <w:r>
              <w:rPr>
                <w:sz w:val="24"/>
                <w:szCs w:val="24"/>
              </w:rPr>
              <w:t>N/A</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Description of the future year demand assumptions (e.g. land use and economic growth - for the do minimum, core and variant scenarios).</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0199A">
            <w:pPr>
              <w:pStyle w:val="BodyText"/>
              <w:rPr>
                <w:sz w:val="24"/>
                <w:szCs w:val="24"/>
              </w:rPr>
            </w:pPr>
            <w:r>
              <w:rPr>
                <w:sz w:val="24"/>
                <w:szCs w:val="24"/>
              </w:rPr>
              <w:t>N/A</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An uncertainty log providing a clear description of the planning status of local developments</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0199A">
            <w:pPr>
              <w:pStyle w:val="BodyText"/>
              <w:rPr>
                <w:sz w:val="24"/>
                <w:szCs w:val="24"/>
              </w:rPr>
            </w:pPr>
            <w:r>
              <w:rPr>
                <w:sz w:val="24"/>
                <w:szCs w:val="24"/>
              </w:rPr>
              <w:t>N/A</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Description of the future year transport supply assumptions (i.e. networks examined for the do minimum, core scenario and variant scenarios).</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0199A">
            <w:pPr>
              <w:pStyle w:val="BodyText"/>
              <w:rPr>
                <w:sz w:val="24"/>
                <w:szCs w:val="24"/>
              </w:rPr>
            </w:pPr>
            <w:r>
              <w:rPr>
                <w:sz w:val="24"/>
                <w:szCs w:val="24"/>
              </w:rPr>
              <w:t>N/A</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 xml:space="preserve">Description of the travel cost assumptions (e.g. fuel costs, PT fares, parking).   </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0199A">
            <w:pPr>
              <w:pStyle w:val="BodyText"/>
              <w:rPr>
                <w:sz w:val="24"/>
                <w:szCs w:val="24"/>
              </w:rPr>
            </w:pPr>
            <w:r>
              <w:rPr>
                <w:sz w:val="24"/>
                <w:szCs w:val="24"/>
              </w:rPr>
              <w:t>N/A</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Comparison of the local forecast results to national forecasts, at an overall and sectoral level.</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0199A">
            <w:pPr>
              <w:pStyle w:val="BodyText"/>
              <w:rPr>
                <w:sz w:val="24"/>
                <w:szCs w:val="24"/>
              </w:rPr>
            </w:pPr>
            <w:r>
              <w:rPr>
                <w:sz w:val="24"/>
                <w:szCs w:val="24"/>
              </w:rPr>
              <w:t>N/A</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Presentation of the forecast travel demand and conditions for the core scenario and variant scenarios including a diagram of forecast flows for the do-minimum and the scheme options for affected corridors.</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0199A">
            <w:pPr>
              <w:pStyle w:val="BodyText"/>
              <w:rPr>
                <w:sz w:val="24"/>
                <w:szCs w:val="24"/>
              </w:rPr>
            </w:pPr>
            <w:r>
              <w:rPr>
                <w:sz w:val="24"/>
                <w:szCs w:val="24"/>
              </w:rPr>
              <w:t>N/A</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If the model includes very slow speeds or high junction delays evidence of their plausibility.</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0199A">
            <w:pPr>
              <w:pStyle w:val="BodyText"/>
              <w:rPr>
                <w:sz w:val="24"/>
                <w:szCs w:val="24"/>
              </w:rPr>
            </w:pPr>
            <w:r>
              <w:rPr>
                <w:sz w:val="24"/>
                <w:szCs w:val="24"/>
              </w:rPr>
              <w:t>N/A</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An explanation of any forecasts of flows above capacity, especially for the do-minimum, and an explanation of how these are accounted for in the modelling/appraisal.</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0199A">
            <w:pPr>
              <w:pStyle w:val="BodyText"/>
              <w:rPr>
                <w:sz w:val="24"/>
                <w:szCs w:val="24"/>
              </w:rPr>
            </w:pPr>
            <w:r>
              <w:rPr>
                <w:sz w:val="24"/>
                <w:szCs w:val="24"/>
              </w:rPr>
              <w:t>N/A</w:t>
            </w:r>
          </w:p>
        </w:tc>
      </w:tr>
      <w:tr w:rsidR="006A4B4E">
        <w:trPr>
          <w:cantSplit/>
        </w:trPr>
        <w:tc>
          <w:tcPr>
            <w:tcW w:w="708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Presentation of the sensitivity tests carried out (to include high and low demand tests).</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80199A">
            <w:pPr>
              <w:pStyle w:val="BodyText"/>
              <w:rPr>
                <w:sz w:val="24"/>
                <w:szCs w:val="24"/>
              </w:rPr>
            </w:pPr>
            <w:r>
              <w:rPr>
                <w:sz w:val="24"/>
                <w:szCs w:val="24"/>
              </w:rPr>
              <w:t>N/A</w:t>
            </w:r>
          </w:p>
        </w:tc>
      </w:tr>
    </w:tbl>
    <w:p w:rsidR="006A4B4E" w:rsidRDefault="006A4B4E">
      <w:pPr>
        <w:pStyle w:val="BodyText"/>
        <w:rPr>
          <w:sz w:val="24"/>
          <w:szCs w:val="24"/>
        </w:rPr>
      </w:pPr>
    </w:p>
    <w:p w:rsidR="006A4B4E" w:rsidRDefault="006A4B4E">
      <w:pPr>
        <w:pStyle w:val="BodyText"/>
        <w:rPr>
          <w:sz w:val="24"/>
          <w:szCs w:val="24"/>
        </w:rPr>
      </w:pPr>
    </w:p>
    <w:p w:rsidR="006A4B4E" w:rsidRDefault="000A65BF">
      <w:pPr>
        <w:pStyle w:val="Heading2"/>
        <w:rPr>
          <w:sz w:val="24"/>
          <w:szCs w:val="24"/>
        </w:rPr>
      </w:pPr>
      <w:r>
        <w:rPr>
          <w:sz w:val="24"/>
          <w:szCs w:val="24"/>
        </w:rPr>
        <w:t>Cost Benefit Analysis</w:t>
      </w:r>
    </w:p>
    <w:tbl>
      <w:tblPr>
        <w:tblW w:w="9180" w:type="dxa"/>
        <w:tblLayout w:type="fixed"/>
        <w:tblCellMar>
          <w:left w:w="10" w:type="dxa"/>
          <w:right w:w="10" w:type="dxa"/>
        </w:tblCellMar>
        <w:tblLook w:val="04A0" w:firstRow="1" w:lastRow="0" w:firstColumn="1" w:lastColumn="0" w:noHBand="0" w:noVBand="1"/>
      </w:tblPr>
      <w:tblGrid>
        <w:gridCol w:w="7054"/>
        <w:gridCol w:w="2126"/>
      </w:tblGrid>
      <w:tr w:rsidR="006A4B4E">
        <w:trPr>
          <w:cantSplit/>
          <w:tblHeader/>
        </w:trPr>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lastRenderedPageBreak/>
              <w:t>Item</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Section/Page</w:t>
            </w:r>
          </w:p>
        </w:tc>
      </w:tr>
      <w:tr w:rsidR="006A4B4E">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A clear explanation of the underlying assumptions used in the Cost Benefit Analysis.</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Pr="004605C3" w:rsidRDefault="004605C3">
            <w:pPr>
              <w:pStyle w:val="BodyText"/>
              <w:rPr>
                <w:b/>
                <w:sz w:val="24"/>
                <w:szCs w:val="24"/>
              </w:rPr>
            </w:pPr>
            <w:r>
              <w:rPr>
                <w:sz w:val="24"/>
                <w:szCs w:val="24"/>
              </w:rPr>
              <w:t>N/A</w:t>
            </w:r>
          </w:p>
        </w:tc>
      </w:tr>
      <w:tr w:rsidR="006A4B4E">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Information on local factors used.  For example the derivation of growth factors and annualisation factors in TUBA (to include full details of any calculations).</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4605C3">
            <w:pPr>
              <w:pStyle w:val="BodyText"/>
              <w:rPr>
                <w:sz w:val="24"/>
                <w:szCs w:val="24"/>
              </w:rPr>
            </w:pPr>
            <w:r>
              <w:rPr>
                <w:sz w:val="24"/>
                <w:szCs w:val="24"/>
              </w:rPr>
              <w:t>N/A</w:t>
            </w:r>
          </w:p>
        </w:tc>
      </w:tr>
      <w:tr w:rsidR="006A4B4E">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A diagram of the network (if COBALT used).</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4605C3">
            <w:pPr>
              <w:pStyle w:val="BodyText"/>
              <w:rPr>
                <w:sz w:val="24"/>
                <w:szCs w:val="24"/>
              </w:rPr>
            </w:pPr>
            <w:r>
              <w:rPr>
                <w:sz w:val="24"/>
                <w:szCs w:val="24"/>
              </w:rPr>
              <w:t>N/A</w:t>
            </w:r>
          </w:p>
        </w:tc>
      </w:tr>
      <w:tr w:rsidR="006A4B4E">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Information on the number of junctions modelled (if COBALT used), for both the do-minimum and the do-something.</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4605C3">
            <w:pPr>
              <w:pStyle w:val="BodyText"/>
              <w:rPr>
                <w:sz w:val="24"/>
                <w:szCs w:val="24"/>
              </w:rPr>
            </w:pPr>
            <w:r>
              <w:rPr>
                <w:sz w:val="24"/>
                <w:szCs w:val="24"/>
              </w:rPr>
              <w:t>N/A</w:t>
            </w:r>
          </w:p>
        </w:tc>
      </w:tr>
      <w:tr w:rsidR="006A4B4E">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Details of assumptions about operating costs and commercial viability (e.g. public transport, park and ride, etc).</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4605C3">
            <w:pPr>
              <w:pStyle w:val="BodyText"/>
              <w:rPr>
                <w:sz w:val="24"/>
                <w:szCs w:val="24"/>
              </w:rPr>
            </w:pPr>
            <w:r>
              <w:rPr>
                <w:sz w:val="24"/>
                <w:szCs w:val="24"/>
              </w:rPr>
              <w:t>N/A</w:t>
            </w:r>
          </w:p>
        </w:tc>
      </w:tr>
      <w:tr w:rsidR="006A4B4E">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Full appraisal inputs/outputs (when used, COBALT and/or TUBA input and output files in text format should be supplied).</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4605C3">
            <w:pPr>
              <w:pStyle w:val="BodyText"/>
              <w:rPr>
                <w:sz w:val="24"/>
                <w:szCs w:val="24"/>
              </w:rPr>
            </w:pPr>
            <w:r>
              <w:rPr>
                <w:sz w:val="24"/>
                <w:szCs w:val="24"/>
              </w:rPr>
              <w:t>N/A</w:t>
            </w:r>
          </w:p>
        </w:tc>
      </w:tr>
      <w:tr w:rsidR="006A4B4E">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Evidence that TUBA/COBALT warning messages have been checked and found to be acceptable.</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4605C3">
            <w:pPr>
              <w:pStyle w:val="BodyText"/>
              <w:rPr>
                <w:sz w:val="24"/>
                <w:szCs w:val="24"/>
              </w:rPr>
            </w:pPr>
            <w:r>
              <w:rPr>
                <w:sz w:val="24"/>
                <w:szCs w:val="24"/>
              </w:rPr>
              <w:t>N/A</w:t>
            </w:r>
          </w:p>
        </w:tc>
      </w:tr>
      <w:tr w:rsidR="006A4B4E">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Spatial (sectoral) analysis of TEE benefits.</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4605C3">
            <w:pPr>
              <w:pStyle w:val="BodyText"/>
              <w:rPr>
                <w:sz w:val="24"/>
                <w:szCs w:val="24"/>
              </w:rPr>
            </w:pPr>
            <w:r>
              <w:rPr>
                <w:sz w:val="24"/>
                <w:szCs w:val="24"/>
              </w:rPr>
              <w:t>N/A</w:t>
            </w:r>
          </w:p>
        </w:tc>
      </w:tr>
      <w:tr w:rsidR="006A4B4E">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Details of the maintenance delay costs/savings.</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4605C3">
            <w:pPr>
              <w:pStyle w:val="BodyText"/>
              <w:rPr>
                <w:sz w:val="24"/>
                <w:szCs w:val="24"/>
              </w:rPr>
            </w:pPr>
            <w:r>
              <w:rPr>
                <w:sz w:val="24"/>
                <w:szCs w:val="24"/>
              </w:rPr>
              <w:t>N/A</w:t>
            </w:r>
          </w:p>
        </w:tc>
      </w:tr>
      <w:tr w:rsidR="006A4B4E">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 xml:space="preserve">Details of the delays during construction. </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4605C3">
            <w:pPr>
              <w:pStyle w:val="BodyText"/>
              <w:rPr>
                <w:sz w:val="24"/>
                <w:szCs w:val="24"/>
              </w:rPr>
            </w:pPr>
            <w:r>
              <w:rPr>
                <w:sz w:val="24"/>
                <w:szCs w:val="24"/>
              </w:rPr>
              <w:t>N/A</w:t>
            </w:r>
          </w:p>
        </w:tc>
      </w:tr>
      <w:tr w:rsidR="006A4B4E">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Appraisal tables (AMCB, PA, TEE) in excel format.</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4605C3">
            <w:pPr>
              <w:pStyle w:val="BodyText"/>
              <w:rPr>
                <w:sz w:val="24"/>
                <w:szCs w:val="24"/>
              </w:rPr>
            </w:pPr>
            <w:r>
              <w:rPr>
                <w:sz w:val="24"/>
                <w:szCs w:val="24"/>
              </w:rPr>
              <w:t>N/A</w:t>
            </w:r>
          </w:p>
        </w:tc>
      </w:tr>
    </w:tbl>
    <w:p w:rsidR="006A4B4E" w:rsidRDefault="006A4B4E">
      <w:pPr>
        <w:pStyle w:val="BodyText"/>
        <w:rPr>
          <w:sz w:val="24"/>
          <w:szCs w:val="24"/>
        </w:rPr>
      </w:pPr>
    </w:p>
    <w:p w:rsidR="006A4B4E" w:rsidRDefault="000A65BF">
      <w:pPr>
        <w:pStyle w:val="Heading2"/>
        <w:rPr>
          <w:sz w:val="24"/>
          <w:szCs w:val="24"/>
        </w:rPr>
      </w:pPr>
      <w:r>
        <w:rPr>
          <w:sz w:val="24"/>
          <w:szCs w:val="24"/>
        </w:rPr>
        <w:t>Economic Case Assessment</w:t>
      </w:r>
    </w:p>
    <w:tbl>
      <w:tblPr>
        <w:tblW w:w="9180" w:type="dxa"/>
        <w:tblLayout w:type="fixed"/>
        <w:tblCellMar>
          <w:left w:w="10" w:type="dxa"/>
          <w:right w:w="10" w:type="dxa"/>
        </w:tblCellMar>
        <w:tblLook w:val="04A0" w:firstRow="1" w:lastRow="0" w:firstColumn="1" w:lastColumn="0" w:noHBand="0" w:noVBand="1"/>
      </w:tblPr>
      <w:tblGrid>
        <w:gridCol w:w="7054"/>
        <w:gridCol w:w="2126"/>
      </w:tblGrid>
      <w:tr w:rsidR="006A4B4E">
        <w:trPr>
          <w:cantSplit/>
          <w:tblHeader/>
        </w:trPr>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Item</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Section/Page</w:t>
            </w:r>
          </w:p>
        </w:tc>
      </w:tr>
      <w:tr w:rsidR="006A4B4E">
        <w:trPr>
          <w:cantSplit/>
        </w:trPr>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A comprehensive Appraisal Summary Table in excel format.</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036594" w:rsidRDefault="00036594" w:rsidP="00036594">
            <w:pPr>
              <w:pStyle w:val="BodyText"/>
              <w:rPr>
                <w:sz w:val="24"/>
                <w:szCs w:val="24"/>
              </w:rPr>
            </w:pPr>
            <w:r>
              <w:rPr>
                <w:sz w:val="24"/>
                <w:szCs w:val="24"/>
              </w:rPr>
              <w:t>Attached to the following LUF application question:</w:t>
            </w:r>
          </w:p>
          <w:p w:rsidR="006A4B4E" w:rsidRDefault="00036594" w:rsidP="00036594">
            <w:pPr>
              <w:pStyle w:val="BodyText"/>
              <w:rPr>
                <w:sz w:val="24"/>
                <w:szCs w:val="24"/>
              </w:rPr>
            </w:pPr>
            <w:r>
              <w:rPr>
                <w:sz w:val="24"/>
                <w:szCs w:val="24"/>
              </w:rPr>
              <w:t xml:space="preserve"> “</w:t>
            </w:r>
            <w:r w:rsidRPr="00036594">
              <w:rPr>
                <w:sz w:val="24"/>
                <w:szCs w:val="24"/>
              </w:rPr>
              <w:t>Provide an assessment of the risks and uncertainties that could affect the overall Value for Money of the bid</w:t>
            </w:r>
            <w:r>
              <w:rPr>
                <w:sz w:val="24"/>
                <w:szCs w:val="24"/>
              </w:rPr>
              <w:t>“</w:t>
            </w:r>
          </w:p>
        </w:tc>
      </w:tr>
      <w:tr w:rsidR="004605C3" w:rsidTr="00D157A7">
        <w:trPr>
          <w:cantSplit/>
        </w:trPr>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4605C3" w:rsidRDefault="004605C3">
            <w:pPr>
              <w:pStyle w:val="BodyText"/>
              <w:rPr>
                <w:sz w:val="24"/>
                <w:szCs w:val="24"/>
              </w:rPr>
            </w:pPr>
            <w:r>
              <w:rPr>
                <w:sz w:val="24"/>
                <w:szCs w:val="24"/>
              </w:rPr>
              <w:t>Assessment of Economic impacts.</w:t>
            </w:r>
          </w:p>
        </w:tc>
        <w:tc>
          <w:tcPr>
            <w:tcW w:w="2126" w:type="dxa"/>
            <w:vMerge w:val="restart"/>
            <w:tcBorders>
              <w:top w:val="single" w:sz="4" w:space="0" w:color="808080"/>
              <w:left w:val="single" w:sz="4" w:space="0" w:color="808080"/>
              <w:right w:val="single" w:sz="4" w:space="0" w:color="808080"/>
            </w:tcBorders>
            <w:shd w:val="clear" w:color="auto" w:fill="auto"/>
            <w:tcMar>
              <w:top w:w="0" w:type="dxa"/>
              <w:left w:w="108" w:type="dxa"/>
              <w:bottom w:w="0" w:type="dxa"/>
              <w:right w:w="108" w:type="dxa"/>
            </w:tcMar>
          </w:tcPr>
          <w:p w:rsidR="004605C3" w:rsidRDefault="004605C3" w:rsidP="004605C3">
            <w:pPr>
              <w:pStyle w:val="BodyText"/>
              <w:rPr>
                <w:sz w:val="24"/>
                <w:szCs w:val="24"/>
              </w:rPr>
            </w:pPr>
            <w:r>
              <w:rPr>
                <w:sz w:val="24"/>
                <w:szCs w:val="24"/>
              </w:rPr>
              <w:t xml:space="preserve">Full appraisal undertaken in line with Scottish Transport Appraisal Guidance and Guidance on the </w:t>
            </w:r>
            <w:r>
              <w:rPr>
                <w:sz w:val="24"/>
                <w:szCs w:val="24"/>
              </w:rPr>
              <w:lastRenderedPageBreak/>
              <w:t>Development on Business Cases in Transport Scotland</w:t>
            </w:r>
          </w:p>
        </w:tc>
      </w:tr>
      <w:tr w:rsidR="004605C3" w:rsidTr="00D157A7">
        <w:trPr>
          <w:cantSplit/>
        </w:trPr>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4605C3" w:rsidRDefault="004605C3">
            <w:pPr>
              <w:pStyle w:val="BodyText"/>
              <w:rPr>
                <w:sz w:val="24"/>
                <w:szCs w:val="24"/>
              </w:rPr>
            </w:pPr>
            <w:r>
              <w:rPr>
                <w:sz w:val="24"/>
                <w:szCs w:val="24"/>
              </w:rPr>
              <w:t>Economic impacts worksheets.</w:t>
            </w:r>
          </w:p>
        </w:tc>
        <w:tc>
          <w:tcPr>
            <w:tcW w:w="2126" w:type="dxa"/>
            <w:vMerge/>
            <w:tcBorders>
              <w:left w:val="single" w:sz="4" w:space="0" w:color="808080"/>
              <w:right w:val="single" w:sz="4" w:space="0" w:color="808080"/>
            </w:tcBorders>
            <w:shd w:val="clear" w:color="auto" w:fill="auto"/>
            <w:tcMar>
              <w:top w:w="0" w:type="dxa"/>
              <w:left w:w="108" w:type="dxa"/>
              <w:bottom w:w="0" w:type="dxa"/>
              <w:right w:w="108" w:type="dxa"/>
            </w:tcMar>
          </w:tcPr>
          <w:p w:rsidR="004605C3" w:rsidRDefault="004605C3">
            <w:pPr>
              <w:pStyle w:val="BodyText"/>
              <w:rPr>
                <w:sz w:val="24"/>
                <w:szCs w:val="24"/>
              </w:rPr>
            </w:pPr>
          </w:p>
        </w:tc>
      </w:tr>
      <w:tr w:rsidR="004605C3" w:rsidTr="00D157A7">
        <w:trPr>
          <w:cantSplit/>
        </w:trPr>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4605C3" w:rsidRDefault="004605C3">
            <w:pPr>
              <w:pStyle w:val="BodyText"/>
              <w:rPr>
                <w:sz w:val="24"/>
                <w:szCs w:val="24"/>
              </w:rPr>
            </w:pPr>
            <w:r>
              <w:rPr>
                <w:sz w:val="24"/>
                <w:szCs w:val="24"/>
              </w:rPr>
              <w:t>Assessment of Environmental impacts, to include an environmental constraints map.</w:t>
            </w:r>
          </w:p>
        </w:tc>
        <w:tc>
          <w:tcPr>
            <w:tcW w:w="2126" w:type="dxa"/>
            <w:vMerge/>
            <w:tcBorders>
              <w:left w:val="single" w:sz="4" w:space="0" w:color="808080"/>
              <w:right w:val="single" w:sz="4" w:space="0" w:color="808080"/>
            </w:tcBorders>
            <w:shd w:val="clear" w:color="auto" w:fill="auto"/>
            <w:tcMar>
              <w:top w:w="0" w:type="dxa"/>
              <w:left w:w="108" w:type="dxa"/>
              <w:bottom w:w="0" w:type="dxa"/>
              <w:right w:w="108" w:type="dxa"/>
            </w:tcMar>
          </w:tcPr>
          <w:p w:rsidR="004605C3" w:rsidRDefault="004605C3">
            <w:pPr>
              <w:pStyle w:val="BodyText"/>
              <w:rPr>
                <w:sz w:val="24"/>
                <w:szCs w:val="24"/>
              </w:rPr>
            </w:pPr>
          </w:p>
        </w:tc>
      </w:tr>
      <w:tr w:rsidR="004605C3" w:rsidTr="00D157A7">
        <w:trPr>
          <w:cantSplit/>
        </w:trPr>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4605C3" w:rsidRDefault="004605C3">
            <w:pPr>
              <w:pStyle w:val="BodyText"/>
              <w:rPr>
                <w:sz w:val="24"/>
                <w:szCs w:val="24"/>
              </w:rPr>
            </w:pPr>
            <w:r>
              <w:rPr>
                <w:sz w:val="24"/>
                <w:szCs w:val="24"/>
              </w:rPr>
              <w:t>Environmental impacts worksheets.</w:t>
            </w:r>
          </w:p>
        </w:tc>
        <w:tc>
          <w:tcPr>
            <w:tcW w:w="2126" w:type="dxa"/>
            <w:vMerge/>
            <w:tcBorders>
              <w:left w:val="single" w:sz="4" w:space="0" w:color="808080"/>
              <w:right w:val="single" w:sz="4" w:space="0" w:color="808080"/>
            </w:tcBorders>
            <w:shd w:val="clear" w:color="auto" w:fill="auto"/>
            <w:tcMar>
              <w:top w:w="0" w:type="dxa"/>
              <w:left w:w="108" w:type="dxa"/>
              <w:bottom w:w="0" w:type="dxa"/>
              <w:right w:w="108" w:type="dxa"/>
            </w:tcMar>
          </w:tcPr>
          <w:p w:rsidR="004605C3" w:rsidRDefault="004605C3">
            <w:pPr>
              <w:pStyle w:val="BodyText"/>
              <w:rPr>
                <w:sz w:val="24"/>
                <w:szCs w:val="24"/>
              </w:rPr>
            </w:pPr>
          </w:p>
        </w:tc>
      </w:tr>
      <w:tr w:rsidR="004605C3" w:rsidTr="00D157A7">
        <w:trPr>
          <w:cantSplit/>
        </w:trPr>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4605C3" w:rsidRDefault="004605C3">
            <w:pPr>
              <w:pStyle w:val="BodyText"/>
              <w:rPr>
                <w:sz w:val="24"/>
                <w:szCs w:val="24"/>
              </w:rPr>
            </w:pPr>
            <w:r>
              <w:rPr>
                <w:sz w:val="24"/>
                <w:szCs w:val="24"/>
              </w:rPr>
              <w:lastRenderedPageBreak/>
              <w:t>Assessment of Safety impacts and the assumed accident rates presented (when used, COBALT output should be provided).</w:t>
            </w:r>
          </w:p>
        </w:tc>
        <w:tc>
          <w:tcPr>
            <w:tcW w:w="2126" w:type="dxa"/>
            <w:vMerge/>
            <w:tcBorders>
              <w:left w:val="single" w:sz="4" w:space="0" w:color="808080"/>
              <w:right w:val="single" w:sz="4" w:space="0" w:color="808080"/>
            </w:tcBorders>
            <w:shd w:val="clear" w:color="auto" w:fill="auto"/>
            <w:tcMar>
              <w:top w:w="0" w:type="dxa"/>
              <w:left w:w="108" w:type="dxa"/>
              <w:bottom w:w="0" w:type="dxa"/>
              <w:right w:w="108" w:type="dxa"/>
            </w:tcMar>
          </w:tcPr>
          <w:p w:rsidR="004605C3" w:rsidRDefault="004605C3">
            <w:pPr>
              <w:pStyle w:val="BodyText"/>
              <w:rPr>
                <w:sz w:val="24"/>
                <w:szCs w:val="24"/>
              </w:rPr>
            </w:pPr>
          </w:p>
        </w:tc>
      </w:tr>
      <w:tr w:rsidR="004605C3" w:rsidTr="00D157A7">
        <w:trPr>
          <w:cantSplit/>
        </w:trPr>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4605C3" w:rsidRDefault="004605C3">
            <w:pPr>
              <w:pStyle w:val="BodyText"/>
              <w:rPr>
                <w:sz w:val="24"/>
                <w:szCs w:val="24"/>
              </w:rPr>
            </w:pPr>
            <w:r>
              <w:rPr>
                <w:sz w:val="24"/>
                <w:szCs w:val="24"/>
              </w:rPr>
              <w:t>Assessment of Social impacts.</w:t>
            </w:r>
          </w:p>
        </w:tc>
        <w:tc>
          <w:tcPr>
            <w:tcW w:w="2126" w:type="dxa"/>
            <w:vMerge/>
            <w:tcBorders>
              <w:left w:val="single" w:sz="4" w:space="0" w:color="808080"/>
              <w:right w:val="single" w:sz="4" w:space="0" w:color="808080"/>
            </w:tcBorders>
            <w:shd w:val="clear" w:color="auto" w:fill="auto"/>
            <w:tcMar>
              <w:top w:w="0" w:type="dxa"/>
              <w:left w:w="108" w:type="dxa"/>
              <w:bottom w:w="0" w:type="dxa"/>
              <w:right w:w="108" w:type="dxa"/>
            </w:tcMar>
          </w:tcPr>
          <w:p w:rsidR="004605C3" w:rsidRDefault="004605C3">
            <w:pPr>
              <w:pStyle w:val="BodyText"/>
              <w:rPr>
                <w:sz w:val="24"/>
                <w:szCs w:val="24"/>
              </w:rPr>
            </w:pPr>
          </w:p>
        </w:tc>
      </w:tr>
      <w:tr w:rsidR="004605C3" w:rsidTr="00D157A7">
        <w:trPr>
          <w:cantSplit/>
        </w:trPr>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4605C3" w:rsidRDefault="004605C3">
            <w:pPr>
              <w:pStyle w:val="BodyText"/>
              <w:rPr>
                <w:sz w:val="24"/>
                <w:szCs w:val="24"/>
              </w:rPr>
            </w:pPr>
            <w:r>
              <w:rPr>
                <w:sz w:val="24"/>
                <w:szCs w:val="24"/>
              </w:rPr>
              <w:t>Assessment of Distributional impacts.</w:t>
            </w:r>
          </w:p>
        </w:tc>
        <w:tc>
          <w:tcPr>
            <w:tcW w:w="2126" w:type="dxa"/>
            <w:vMerge/>
            <w:tcBorders>
              <w:left w:val="single" w:sz="4" w:space="0" w:color="808080"/>
              <w:right w:val="single" w:sz="4" w:space="0" w:color="808080"/>
            </w:tcBorders>
            <w:shd w:val="clear" w:color="auto" w:fill="auto"/>
            <w:tcMar>
              <w:top w:w="0" w:type="dxa"/>
              <w:left w:w="108" w:type="dxa"/>
              <w:bottom w:w="0" w:type="dxa"/>
              <w:right w:w="108" w:type="dxa"/>
            </w:tcMar>
          </w:tcPr>
          <w:p w:rsidR="004605C3" w:rsidRDefault="004605C3">
            <w:pPr>
              <w:pStyle w:val="BodyText"/>
              <w:rPr>
                <w:sz w:val="24"/>
                <w:szCs w:val="24"/>
              </w:rPr>
            </w:pPr>
          </w:p>
        </w:tc>
      </w:tr>
      <w:tr w:rsidR="004605C3" w:rsidTr="00D157A7">
        <w:trPr>
          <w:cantSplit/>
        </w:trPr>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4605C3" w:rsidRDefault="004605C3">
            <w:pPr>
              <w:pStyle w:val="BodyText"/>
              <w:rPr>
                <w:sz w:val="24"/>
                <w:szCs w:val="24"/>
              </w:rPr>
            </w:pPr>
            <w:r>
              <w:rPr>
                <w:sz w:val="24"/>
                <w:szCs w:val="24"/>
              </w:rPr>
              <w:t>Social and distributional impacts worksheets (including DI screening pro forma).</w:t>
            </w:r>
          </w:p>
        </w:tc>
        <w:tc>
          <w:tcPr>
            <w:tcW w:w="2126" w:type="dxa"/>
            <w:vMerge/>
            <w:tcBorders>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4605C3" w:rsidRDefault="004605C3">
            <w:pPr>
              <w:pStyle w:val="BodyText"/>
              <w:rPr>
                <w:sz w:val="24"/>
                <w:szCs w:val="24"/>
              </w:rPr>
            </w:pPr>
          </w:p>
        </w:tc>
      </w:tr>
      <w:tr w:rsidR="006A4B4E">
        <w:trPr>
          <w:cantSplit/>
          <w:trHeight w:val="90"/>
        </w:trPr>
        <w:tc>
          <w:tcPr>
            <w:tcW w:w="70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0A65BF">
            <w:pPr>
              <w:pStyle w:val="BodyText"/>
              <w:rPr>
                <w:sz w:val="24"/>
                <w:szCs w:val="24"/>
              </w:rPr>
            </w:pPr>
            <w:r>
              <w:rPr>
                <w:sz w:val="24"/>
                <w:szCs w:val="24"/>
              </w:rPr>
              <w:t>Cost pro forma.</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A4B4E" w:rsidRDefault="004605C3">
            <w:pPr>
              <w:pStyle w:val="BodyText"/>
              <w:rPr>
                <w:sz w:val="24"/>
                <w:szCs w:val="24"/>
              </w:rPr>
            </w:pPr>
            <w:r>
              <w:rPr>
                <w:sz w:val="24"/>
                <w:szCs w:val="24"/>
              </w:rPr>
              <w:t>Single Project Workbook, attached to LUF application.</w:t>
            </w:r>
          </w:p>
        </w:tc>
      </w:tr>
    </w:tbl>
    <w:p w:rsidR="006A4B4E" w:rsidRDefault="006A4B4E"/>
    <w:sectPr w:rsidR="006A4B4E">
      <w:headerReference w:type="default" r:id="rId7"/>
      <w:footerReference w:type="default" r:id="rId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342" w:rsidRDefault="000A65BF">
      <w:pPr>
        <w:spacing w:before="0" w:after="0"/>
      </w:pPr>
      <w:r>
        <w:separator/>
      </w:r>
    </w:p>
  </w:endnote>
  <w:endnote w:type="continuationSeparator" w:id="0">
    <w:p w:rsidR="00B40342" w:rsidRDefault="000A65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095" w:rsidRDefault="000A65BF">
    <w:pPr>
      <w:pStyle w:val="Footer"/>
      <w:jc w:val="center"/>
    </w:pPr>
    <w:r>
      <w:rPr>
        <w:sz w:val="24"/>
      </w:rPr>
      <w:fldChar w:fldCharType="begin"/>
    </w:r>
    <w:r>
      <w:rPr>
        <w:sz w:val="24"/>
      </w:rPr>
      <w:instrText xml:space="preserve"> PAGE </w:instrText>
    </w:r>
    <w:r>
      <w:rPr>
        <w:sz w:val="24"/>
      </w:rPr>
      <w:fldChar w:fldCharType="separate"/>
    </w:r>
    <w:r w:rsidR="000F3AD0">
      <w:rPr>
        <w:noProof/>
        <w:sz w:val="24"/>
      </w:rPr>
      <w:t>11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342" w:rsidRDefault="000A65BF">
      <w:pPr>
        <w:spacing w:before="0" w:after="0"/>
      </w:pPr>
      <w:r>
        <w:rPr>
          <w:color w:val="000000"/>
        </w:rPr>
        <w:separator/>
      </w:r>
    </w:p>
  </w:footnote>
  <w:footnote w:type="continuationSeparator" w:id="0">
    <w:p w:rsidR="00B40342" w:rsidRDefault="000A65BF">
      <w:pPr>
        <w:spacing w:before="0" w:after="0"/>
      </w:pPr>
      <w:r>
        <w:continuationSeparator/>
      </w:r>
    </w:p>
  </w:footnote>
  <w:footnote w:id="1">
    <w:p w:rsidR="006A4B4E" w:rsidRDefault="000A65BF">
      <w:pPr>
        <w:pStyle w:val="FootnoteText"/>
      </w:pPr>
      <w:r>
        <w:rPr>
          <w:rStyle w:val="FootnoteReference"/>
        </w:rPr>
        <w:footnoteRef/>
      </w:r>
      <w:r>
        <w:t xml:space="preserve"> UK Government expects that all local road projects in England funded by the UK Government will deliver or improve cycling and walking infrastructure (unless it can be shown that there is little or no need to do so). Cycling proposals should follow the Government’s cycling design guidance which sets out the standards required if schemes are to receive funding.</w:t>
      </w:r>
    </w:p>
  </w:footnote>
  <w:footnote w:id="2">
    <w:p w:rsidR="006A4B4E" w:rsidRDefault="000A65BF">
      <w:pPr>
        <w:pStyle w:val="FootnoteText"/>
      </w:pPr>
      <w:r>
        <w:rPr>
          <w:rStyle w:val="FootnoteReference"/>
        </w:rPr>
        <w:footnoteRef/>
      </w:r>
      <w:r>
        <w:t xml:space="preserve"> Local road projects are expected to either support bus priority measures (unless bids can explain why doing so would not be necessary or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095" w:rsidRDefault="000F3AD0">
    <w:pPr>
      <w:pStyle w:val="Header"/>
    </w:pPr>
  </w:p>
  <w:p w:rsidR="00CD3095" w:rsidRDefault="000F3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C21FE"/>
    <w:multiLevelType w:val="multilevel"/>
    <w:tmpl w:val="AEBE3A5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Arial" w:eastAsia="Times New Roman" w:hAnsi="Arial" w:cs="Arial"/>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5CF90628"/>
    <w:multiLevelType w:val="multilevel"/>
    <w:tmpl w:val="BCE2C98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8CB7AE1"/>
    <w:multiLevelType w:val="multilevel"/>
    <w:tmpl w:val="BCB4B82A"/>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7CE10551"/>
    <w:multiLevelType w:val="multilevel"/>
    <w:tmpl w:val="5296B1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B4E"/>
    <w:rsid w:val="00036594"/>
    <w:rsid w:val="000A65BF"/>
    <w:rsid w:val="000F3AD0"/>
    <w:rsid w:val="001644C8"/>
    <w:rsid w:val="00175BC9"/>
    <w:rsid w:val="00182B78"/>
    <w:rsid w:val="00270A18"/>
    <w:rsid w:val="004605C3"/>
    <w:rsid w:val="006A4B4E"/>
    <w:rsid w:val="0080199A"/>
    <w:rsid w:val="0081123C"/>
    <w:rsid w:val="00975208"/>
    <w:rsid w:val="00995E3E"/>
    <w:rsid w:val="00A100BC"/>
    <w:rsid w:val="00B26845"/>
    <w:rsid w:val="00B40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4BF14"/>
  <w15:docId w15:val="{6F1F1E81-A2F7-4477-950A-ACFE39ED8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before="80" w:after="80" w:line="240" w:lineRule="auto"/>
    </w:pPr>
    <w:rPr>
      <w:rFonts w:ascii="Arial" w:eastAsia="Times New Roman" w:hAnsi="Arial"/>
      <w:kern w:val="3"/>
      <w:sz w:val="28"/>
      <w:szCs w:val="28"/>
      <w:lang w:bidi="ur-PK"/>
    </w:rPr>
  </w:style>
  <w:style w:type="paragraph" w:styleId="Heading1">
    <w:name w:val="heading 1"/>
    <w:basedOn w:val="BodyText"/>
    <w:next w:val="BodyText"/>
    <w:pPr>
      <w:outlineLvl w:val="0"/>
    </w:pPr>
    <w:rPr>
      <w:b/>
    </w:rPr>
  </w:style>
  <w:style w:type="paragraph" w:styleId="Heading2">
    <w:name w:val="heading 2"/>
    <w:basedOn w:val="BodyText"/>
    <w:next w:val="BodyText"/>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cs="Arial"/>
      <w:b/>
      <w:kern w:val="3"/>
      <w:sz w:val="28"/>
      <w:szCs w:val="28"/>
      <w:lang w:bidi="ur-PK"/>
    </w:rPr>
  </w:style>
  <w:style w:type="character" w:customStyle="1" w:styleId="Heading2Char">
    <w:name w:val="Heading 2 Char"/>
    <w:basedOn w:val="DefaultParagraphFont"/>
    <w:rPr>
      <w:rFonts w:ascii="Arial" w:eastAsia="Times New Roman" w:hAnsi="Arial" w:cs="Arial"/>
      <w:b/>
      <w:kern w:val="3"/>
      <w:sz w:val="28"/>
      <w:szCs w:val="28"/>
      <w:lang w:bidi="ur-PK"/>
    </w:rPr>
  </w:style>
  <w:style w:type="paragraph" w:styleId="BodyText">
    <w:name w:val="Body Text"/>
    <w:basedOn w:val="Normal"/>
  </w:style>
  <w:style w:type="character" w:customStyle="1" w:styleId="BodyTextChar">
    <w:name w:val="Body Text Char"/>
    <w:basedOn w:val="DefaultParagraphFont"/>
    <w:rPr>
      <w:rFonts w:ascii="Arial" w:eastAsia="Times New Roman" w:hAnsi="Arial" w:cs="Arial"/>
      <w:kern w:val="3"/>
      <w:sz w:val="28"/>
      <w:szCs w:val="28"/>
      <w:lang w:bidi="ur-PK"/>
    </w:rPr>
  </w:style>
  <w:style w:type="paragraph" w:styleId="Header">
    <w:name w:val="header"/>
    <w:basedOn w:val="Normal"/>
    <w:pPr>
      <w:tabs>
        <w:tab w:val="center" w:pos="4513"/>
        <w:tab w:val="right" w:pos="9026"/>
      </w:tabs>
      <w:spacing w:before="0" w:after="0"/>
    </w:pPr>
  </w:style>
  <w:style w:type="character" w:customStyle="1" w:styleId="HeaderChar">
    <w:name w:val="Header Char"/>
    <w:basedOn w:val="DefaultParagraphFont"/>
    <w:rPr>
      <w:rFonts w:ascii="Arial" w:eastAsia="Times New Roman" w:hAnsi="Arial" w:cs="Arial"/>
      <w:kern w:val="3"/>
      <w:sz w:val="28"/>
      <w:szCs w:val="28"/>
      <w:lang w:bidi="ur-PK"/>
    </w:rPr>
  </w:style>
  <w:style w:type="paragraph" w:styleId="Footer">
    <w:name w:val="footer"/>
    <w:basedOn w:val="Normal"/>
    <w:pPr>
      <w:tabs>
        <w:tab w:val="center" w:pos="4513"/>
        <w:tab w:val="right" w:pos="9026"/>
      </w:tabs>
      <w:spacing w:before="0" w:after="0"/>
    </w:pPr>
  </w:style>
  <w:style w:type="character" w:customStyle="1" w:styleId="FooterChar">
    <w:name w:val="Footer Char"/>
    <w:basedOn w:val="DefaultParagraphFont"/>
    <w:rPr>
      <w:rFonts w:ascii="Arial" w:eastAsia="Times New Roman" w:hAnsi="Arial" w:cs="Arial"/>
      <w:kern w:val="3"/>
      <w:sz w:val="28"/>
      <w:szCs w:val="28"/>
      <w:lang w:bidi="ur-PK"/>
    </w:rPr>
  </w:style>
  <w:style w:type="paragraph" w:styleId="ListParagraph">
    <w:name w:val="List Paragraph"/>
    <w:basedOn w:val="Normal"/>
    <w:pPr>
      <w:spacing w:before="0" w:after="160" w:line="256" w:lineRule="auto"/>
      <w:ind w:left="720"/>
    </w:pPr>
    <w:rPr>
      <w:rFonts w:ascii="Calibri" w:eastAsia="Calibri" w:hAnsi="Calibri"/>
      <w:kern w:val="0"/>
      <w:sz w:val="22"/>
      <w:szCs w:val="22"/>
      <w:lang w:bidi="ar-SA"/>
    </w:rPr>
  </w:style>
  <w:style w:type="character" w:customStyle="1" w:styleId="ListParagraphChar">
    <w:name w:val="List Paragraph Char"/>
    <w:basedOn w:val="DefaultParagraphFont"/>
  </w:style>
  <w:style w:type="paragraph" w:styleId="FootnoteText">
    <w:name w:val="footnote text"/>
    <w:basedOn w:val="Normal"/>
    <w:pPr>
      <w:spacing w:before="0" w:after="0"/>
    </w:pPr>
    <w:rPr>
      <w:sz w:val="20"/>
      <w:szCs w:val="20"/>
    </w:rPr>
  </w:style>
  <w:style w:type="character" w:customStyle="1" w:styleId="FootnoteTextChar">
    <w:name w:val="Footnote Text Char"/>
    <w:basedOn w:val="DefaultParagraphFont"/>
    <w:rPr>
      <w:rFonts w:ascii="Arial" w:eastAsia="Times New Roman" w:hAnsi="Arial" w:cs="Arial"/>
      <w:kern w:val="3"/>
      <w:sz w:val="20"/>
      <w:szCs w:val="20"/>
      <w:lang w:bidi="ur-PK"/>
    </w:rPr>
  </w:style>
  <w:style w:type="character" w:styleId="FootnoteReference">
    <w:name w:val="footnote reference"/>
    <w:basedOn w:val="DefaultParagraphFont"/>
    <w:rPr>
      <w:position w:val="0"/>
      <w:vertAlign w:val="superscript"/>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eastAsia="Times New Roman" w:hAnsi="Arial" w:cs="Arial"/>
      <w:kern w:val="3"/>
      <w:sz w:val="20"/>
      <w:szCs w:val="20"/>
      <w:lang w:bidi="ur-PK"/>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Times New Roman" w:hAnsi="Arial" w:cs="Arial"/>
      <w:b/>
      <w:bCs/>
      <w:kern w:val="3"/>
      <w:sz w:val="20"/>
      <w:szCs w:val="20"/>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64A882EE0CDC45BD81C22ABBE9126B" ma:contentTypeVersion="4" ma:contentTypeDescription="Create a new document." ma:contentTypeScope="" ma:versionID="ae75895b5b6940b9f7d18cdd1dd32286">
  <xsd:schema xmlns:xsd="http://www.w3.org/2001/XMLSchema" xmlns:xs="http://www.w3.org/2001/XMLSchema" xmlns:p="http://schemas.microsoft.com/office/2006/metadata/properties" xmlns:ns2="43f1cb5e-8191-4944-b5f5-f38f27fc4030" xmlns:ns3="a00423a0-c859-4f10-a837-b62aceeb980c" targetNamespace="http://schemas.microsoft.com/office/2006/metadata/properties" ma:root="true" ma:fieldsID="23b2096d30b6da66e3a5fd9b59e1a1a7" ns2:_="" ns3:_="">
    <xsd:import namespace="43f1cb5e-8191-4944-b5f5-f38f27fc4030"/>
    <xsd:import namespace="a00423a0-c859-4f10-a837-b62aceeb98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cb5e-8191-4944-b5f5-f38f27fc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0423a0-c859-4f10-a837-b62aceeb98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90BAD7-EC23-4F02-B1F7-F827A46E7033}"/>
</file>

<file path=customXml/itemProps2.xml><?xml version="1.0" encoding="utf-8"?>
<ds:datastoreItem xmlns:ds="http://schemas.openxmlformats.org/officeDocument/2006/customXml" ds:itemID="{5D1C55FB-0973-4594-AEC9-1B51840B7299}"/>
</file>

<file path=customXml/itemProps3.xml><?xml version="1.0" encoding="utf-8"?>
<ds:datastoreItem xmlns:ds="http://schemas.openxmlformats.org/officeDocument/2006/customXml" ds:itemID="{06112DD2-5606-4E59-A4CC-24E94558BEA2}"/>
</file>

<file path=docProps/app.xml><?xml version="1.0" encoding="utf-8"?>
<Properties xmlns="http://schemas.openxmlformats.org/officeDocument/2006/extended-properties" xmlns:vt="http://schemas.openxmlformats.org/officeDocument/2006/docPropsVTypes">
  <Template>Normal</Template>
  <TotalTime>2</TotalTime>
  <Pages>13</Pages>
  <Words>2364</Words>
  <Characters>13478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15811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Bunch</dc:creator>
  <dc:description/>
  <cp:lastModifiedBy>Coutts Lee@Marine and Air Operations</cp:lastModifiedBy>
  <cp:revision>2</cp:revision>
  <cp:lastPrinted>2022-05-16T11:47:00Z</cp:lastPrinted>
  <dcterms:created xsi:type="dcterms:W3CDTF">2022-08-01T14:35:00Z</dcterms:created>
  <dcterms:modified xsi:type="dcterms:W3CDTF">2022-08-01T14:35:00Z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0x0101003464A882EE0CDC45BD81C22ABBE9126B</vt:lpwstr>
  </property>
</Properties>
</file>